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A8" w:rsidRPr="004A1F22" w:rsidRDefault="00CD0FA8" w:rsidP="00CD0FA8">
      <w:pPr>
        <w:shd w:val="clear" w:color="auto" w:fill="FFFFFF"/>
        <w:spacing w:after="150" w:line="360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bookmarkStart w:id="0" w:name="_GoBack"/>
      <w:bookmarkEnd w:id="0"/>
      <w:r w:rsidRPr="004A1F22">
        <w:rPr>
          <w:rFonts w:ascii="Times New Roman" w:hAnsi="Times New Roman"/>
          <w:b/>
          <w:bCs/>
          <w:color w:val="333333"/>
          <w:sz w:val="24"/>
          <w:szCs w:val="24"/>
        </w:rPr>
        <w:t>RAPORTI I MONITORIMIT TË AGJENCISË E SIGURIMIT TË CILËSISË NË ARSIMIN E LARTË PËR VITIN 2021.</w:t>
      </w:r>
    </w:p>
    <w:p w:rsidR="00CD0FA8" w:rsidRPr="00856D20" w:rsidRDefault="00CD0FA8" w:rsidP="00CD0FA8">
      <w:pPr>
        <w:pStyle w:val="Default"/>
        <w:ind w:left="720"/>
        <w:jc w:val="both"/>
        <w:rPr>
          <w:lang w:val="sq-AL"/>
        </w:rPr>
      </w:pPr>
    </w:p>
    <w:p w:rsidR="00CD0FA8" w:rsidRPr="00772C45" w:rsidRDefault="00CD0FA8" w:rsidP="00AB32D5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72C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Agjencia e Sigurimit të Cilësisë në Arsimin e Lartë (ASCAL) është i vetmi institucion në RSH që kontrollon dhe vlerëson cilësinë në arsimin e lartë. Kjo, duke u mbeshtetur në standardet shtetërore të cilësisë dhe në standardet dhe udhëzimet përkatëse të cilësisë në Hapësirën Europiane dhe atë ndërkombëtare të arsimit të lartë. ASCAL është i pavarur, i paanshëm dhe transparent në kryerjen e veprimtarisë së tij. ASCAL kryen vlerësimin e jashtëm në kuadër të akreditimit institucional dhe të programeve të studimit në IAL publike dhe private në Shqipëri. Gjithashtu Agjencia kryen vlerësime analitike dhe krahasuese për IAL, programet dhe fushat e studimit.</w:t>
      </w:r>
    </w:p>
    <w:p w:rsidR="00CD0FA8" w:rsidRPr="00772C45" w:rsidRDefault="00CD0FA8" w:rsidP="00CD0FA8">
      <w:pPr>
        <w:shd w:val="clear" w:color="auto" w:fill="FFFFFF"/>
        <w:spacing w:after="150" w:line="36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772C45">
        <w:rPr>
          <w:rFonts w:ascii="Times New Roman" w:hAnsi="Times New Roman"/>
          <w:b/>
          <w:bCs/>
          <w:color w:val="333333"/>
          <w:sz w:val="24"/>
          <w:szCs w:val="24"/>
        </w:rPr>
        <w:t>Misioni i ASCAL</w:t>
      </w:r>
    </w:p>
    <w:p w:rsidR="00CD0FA8" w:rsidRPr="00772C45" w:rsidRDefault="00CD0FA8" w:rsidP="00CD0FA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sz w:val="24"/>
          <w:szCs w:val="24"/>
        </w:rPr>
      </w:pPr>
      <w:r w:rsidRPr="00772C45">
        <w:rPr>
          <w:rFonts w:ascii="Times New Roman" w:hAnsi="Times New Roman"/>
          <w:color w:val="333333"/>
          <w:sz w:val="24"/>
          <w:szCs w:val="24"/>
        </w:rPr>
        <w:t>Sigurimi i cilësisë në arsimin e lartë përmes vlerësimit të jashtëm, objektiv dhe të pavarur; </w:t>
      </w:r>
    </w:p>
    <w:p w:rsidR="00CD0FA8" w:rsidRPr="00772C45" w:rsidRDefault="00CD0FA8" w:rsidP="00CD0FA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sz w:val="24"/>
          <w:szCs w:val="24"/>
        </w:rPr>
      </w:pPr>
      <w:r w:rsidRPr="00772C45">
        <w:rPr>
          <w:rFonts w:ascii="Times New Roman" w:hAnsi="Times New Roman"/>
          <w:color w:val="333333"/>
          <w:sz w:val="24"/>
          <w:szCs w:val="24"/>
        </w:rPr>
        <w:t>Ruajtja e standardeve të cilësisë; </w:t>
      </w:r>
    </w:p>
    <w:p w:rsidR="00CD0FA8" w:rsidRPr="00772C45" w:rsidRDefault="00CD0FA8" w:rsidP="00CD0FA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sz w:val="24"/>
          <w:szCs w:val="24"/>
        </w:rPr>
      </w:pPr>
      <w:r w:rsidRPr="00772C45">
        <w:rPr>
          <w:rFonts w:ascii="Times New Roman" w:hAnsi="Times New Roman"/>
          <w:color w:val="333333"/>
          <w:sz w:val="24"/>
          <w:szCs w:val="24"/>
        </w:rPr>
        <w:t>Promovimi dhe përmirësimi i cilësisë së institucioneve të arsimit të lartë e të programeve të studimit që ato ofrojnë.</w:t>
      </w:r>
    </w:p>
    <w:p w:rsidR="00CD0FA8" w:rsidRDefault="00CD0FA8" w:rsidP="00AB32D5">
      <w:pPr>
        <w:spacing w:line="36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72C4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Për të përmbushur misionin e saj,  ASCAL përveç akteve ligjore në fuqi mbështetet edhe ne Kodin e Cilësisë si dhe në rregulloret e brendshme të tij.</w:t>
      </w:r>
    </w:p>
    <w:p w:rsidR="00AB32D5" w:rsidRPr="00772C45" w:rsidRDefault="00AB32D5" w:rsidP="00AB32D5">
      <w:pPr>
        <w:spacing w:line="360" w:lineRule="auto"/>
        <w:rPr>
          <w:rFonts w:ascii="Times New Roman" w:hAnsi="Times New Roman"/>
          <w:color w:val="555555"/>
          <w:sz w:val="24"/>
          <w:szCs w:val="24"/>
        </w:rPr>
      </w:pPr>
    </w:p>
    <w:p w:rsidR="00CD0FA8" w:rsidRPr="004A1F22" w:rsidRDefault="00CD0FA8" w:rsidP="00CD0FA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A1F22">
        <w:rPr>
          <w:rFonts w:ascii="Times New Roman" w:hAnsi="Times New Roman"/>
          <w:b/>
          <w:bCs/>
          <w:color w:val="333333"/>
          <w:sz w:val="24"/>
          <w:szCs w:val="24"/>
        </w:rPr>
        <w:t>Objektivi kryesor është përmirësimi i vazhdueshëm i cilësisë në arsimin e lartë në Shqipëri</w:t>
      </w:r>
      <w:r w:rsidRPr="004A1F22">
        <w:rPr>
          <w:rFonts w:ascii="Times New Roman" w:hAnsi="Times New Roman"/>
          <w:b/>
          <w:sz w:val="24"/>
          <w:szCs w:val="24"/>
        </w:rPr>
        <w:t>.</w:t>
      </w:r>
    </w:p>
    <w:p w:rsidR="00AB32D5" w:rsidRPr="00CD0FA8" w:rsidRDefault="00AB32D5" w:rsidP="00CD0FA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66E" w:rsidRPr="00CD0FA8" w:rsidRDefault="00D6266E" w:rsidP="00D6266E">
      <w:pPr>
        <w:spacing w:before="0" w:after="120" w:line="276" w:lineRule="auto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 xml:space="preserve">Objektivat kryesore të Sektorit të </w:t>
      </w:r>
      <w:r w:rsidR="00CD0FA8" w:rsidRPr="00CD0FA8">
        <w:rPr>
          <w:rFonts w:ascii="Times New Roman" w:hAnsi="Times New Roman"/>
          <w:color w:val="auto"/>
          <w:sz w:val="24"/>
          <w:szCs w:val="24"/>
          <w:lang w:val="sq-AL"/>
        </w:rPr>
        <w:t xml:space="preserve">Financës, </w:t>
      </w: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>Shërbimeve dhe Publikimit janë: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Planifikimi, menaxhimi dhe kontrolli financiar i ASCAL.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Zbatimi dhe kontrolli i ligjshmërisë financiare të administratës së ASCAL.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Hartimi i buxhetit vjetor dhe kontrolli i shpenzimeve duke patur parasysh që veprimtaria të kryhet në përputhje me buxhetin e akorduar dhe objektivin e performancës financiare buxhetore.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Planifikimi në mënyrë efektive i fondeve dhe burimeve financiare të ASCAL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Drejtimi dhe menaxhimi i prokurimeve publike, kontrolli i ligjshmërisë së tyre.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lastRenderedPageBreak/>
        <w:t>Kontrolli i transaksioneve të kryera në lidhje me të ardhurat dhe shpenzimet në ASCAL.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Drejtimi dhe monitorimi i komisionit të prokurimit për blerjet me vlerë të vogël, pajisjeve, investimeve dhe shërbime të tjera që kryhen në Agjenci.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Studimi, hartimi dhe ndjekja për zbatimin e programeve të investimeve në zhvillimin e infrastrukturës së shërbimit në ASCAL.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Planifikimi, menaxhimi dhe mirëmbajtja e aseteve të institucionit.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Hartimi i regjistrit të parashikimeve dhe realizimeve të prokurimeve publike, kryerjen e prokurimeve të mallrave, shërbimeve dhe ndjekjen e tyre.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Përgjegjësia për dhënie të këshillave, udhëzimeve për përgatitjen e akteve në fushën e prokurimit publik me qëllim zbatimin me saktësi të dispozitave ligjore në fuqi.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 xml:space="preserve">Kontrolli dhe menaxhimi i  veprimtarise ne arkivën dhe protokollin e ASCAL. </w:t>
      </w:r>
    </w:p>
    <w:p w:rsidR="00D6266E" w:rsidRPr="00CD0FA8" w:rsidRDefault="00D6266E" w:rsidP="00D6266E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Vlerësimi dhe menaxhimi i politikave të burimeve njerëzore, sigurimi i shërbimeve të përgjithshme, administrimi i dokumentacionit të dosjeve të personelit.</w:t>
      </w:r>
    </w:p>
    <w:p w:rsidR="00AB32D5" w:rsidRDefault="00AB32D5" w:rsidP="00AB32D5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6266E" w:rsidRPr="00CD0FA8" w:rsidRDefault="00D6266E" w:rsidP="00AB32D5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D0FA8">
        <w:rPr>
          <w:rFonts w:ascii="Times New Roman" w:hAnsi="Times New Roman"/>
          <w:color w:val="auto"/>
          <w:sz w:val="24"/>
          <w:szCs w:val="24"/>
        </w:rPr>
        <w:t>Në zbatim të ligjit Nr. 9936 datë 26.06.2008 “</w:t>
      </w:r>
      <w:r w:rsidRPr="00CD0FA8">
        <w:rPr>
          <w:rFonts w:ascii="Times New Roman" w:hAnsi="Times New Roman"/>
          <w:i/>
          <w:color w:val="auto"/>
          <w:sz w:val="24"/>
          <w:szCs w:val="24"/>
        </w:rPr>
        <w:t>Për menaxhimin e sistemit buxhetor në RSH</w:t>
      </w:r>
      <w:r w:rsidRPr="00CD0FA8">
        <w:rPr>
          <w:rFonts w:ascii="Times New Roman" w:hAnsi="Times New Roman"/>
          <w:color w:val="auto"/>
          <w:sz w:val="24"/>
          <w:szCs w:val="24"/>
        </w:rPr>
        <w:t>”, Ligjit “</w:t>
      </w:r>
      <w:r w:rsidRPr="00CD0FA8">
        <w:rPr>
          <w:rFonts w:ascii="Times New Roman" w:hAnsi="Times New Roman"/>
          <w:i/>
          <w:color w:val="auto"/>
          <w:sz w:val="24"/>
          <w:szCs w:val="24"/>
        </w:rPr>
        <w:t>Për buxhetin e vitit 2019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”, Udhëzimit Nr.2 datë 06.02.2012 të Ministrit të Financave “Për procedurat standarde të zbatimit të buxhetit”, të ndryshuar, Ligjit 80/2015 “Për Arsimin e Lartë dhe Kërkimin Shkencor në Institucionet e Arsimit të Lartë në Republikën e Shqipërisë” dhe Vendimitnr.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Lartë”, i ndryshuar </w:t>
      </w:r>
      <w:r w:rsidRPr="00CD0FA8">
        <w:rPr>
          <w:rFonts w:ascii="Times New Roman" w:hAnsi="Times New Roman"/>
          <w:b/>
          <w:color w:val="auto"/>
          <w:sz w:val="24"/>
          <w:szCs w:val="24"/>
        </w:rPr>
        <w:t xml:space="preserve">ASCAL financohet në 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mënyrë të balancuar nga buxheti i shtetit dhe të ardhurat e krijuara nga veprimtaria e saj, për vitin 2021 </w:t>
      </w:r>
      <w:r w:rsidRPr="00CD0FA8">
        <w:rPr>
          <w:rFonts w:ascii="Times New Roman" w:hAnsi="Times New Roman"/>
          <w:color w:val="auto"/>
          <w:sz w:val="24"/>
          <w:szCs w:val="24"/>
          <w:u w:val="single"/>
        </w:rPr>
        <w:t>nuk ju akorduan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 fonde nga buxheti i shtetit.</w:t>
      </w:r>
    </w:p>
    <w:p w:rsidR="00AB32D5" w:rsidRDefault="00AB32D5" w:rsidP="00AB32D5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6266E" w:rsidRPr="00CD0FA8" w:rsidRDefault="00D6266E" w:rsidP="00AB32D5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D0FA8">
        <w:rPr>
          <w:rFonts w:ascii="Times New Roman" w:hAnsi="Times New Roman"/>
          <w:color w:val="auto"/>
          <w:sz w:val="24"/>
          <w:szCs w:val="24"/>
        </w:rPr>
        <w:t>Për pasojë ASCAL</w:t>
      </w: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 xml:space="preserve"> ka kryer dhe do të mbështesë aktivitetin e saj financiar për vitin 2021 vetëm nga të ardhurat e siguruara nga veprimtaria e saj si në tabelën më poshtë:</w:t>
      </w:r>
    </w:p>
    <w:p w:rsidR="00D6266E" w:rsidRPr="00CD0FA8" w:rsidRDefault="00D6266E" w:rsidP="00D6266E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</w:p>
    <w:p w:rsidR="00AB32D5" w:rsidRDefault="00AB32D5" w:rsidP="00D6266E">
      <w:pPr>
        <w:pStyle w:val="Caption"/>
        <w:keepNext/>
        <w:spacing w:line="264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:rsidR="00D6266E" w:rsidRDefault="00D6266E" w:rsidP="00D6266E">
      <w:pPr>
        <w:pStyle w:val="Caption"/>
        <w:keepNext/>
        <w:spacing w:line="264" w:lineRule="auto"/>
        <w:rPr>
          <w:rFonts w:ascii="Times New Roman" w:hAnsi="Times New Roman"/>
          <w:color w:val="auto"/>
          <w:sz w:val="24"/>
          <w:szCs w:val="24"/>
          <w:lang w:val="it-IT"/>
        </w:rPr>
      </w:pPr>
      <w:r w:rsidRPr="00CD0FA8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Tabela 6: </w:t>
      </w:r>
      <w:r w:rsidRPr="00CD0FA8">
        <w:rPr>
          <w:rFonts w:ascii="Times New Roman" w:hAnsi="Times New Roman"/>
          <w:color w:val="auto"/>
          <w:sz w:val="24"/>
          <w:szCs w:val="24"/>
          <w:lang w:val="it-IT"/>
        </w:rPr>
        <w:t>Buxheti nga të ardhurat dhe realizimi për vitin 2021</w:t>
      </w:r>
    </w:p>
    <w:p w:rsidR="00AB32D5" w:rsidRPr="00AB32D5" w:rsidRDefault="00AB32D5" w:rsidP="00AB32D5">
      <w:pPr>
        <w:rPr>
          <w:lang w:val="it-IT"/>
        </w:rPr>
      </w:pPr>
    </w:p>
    <w:tbl>
      <w:tblPr>
        <w:tblW w:w="5289" w:type="pct"/>
        <w:tblInd w:w="-252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ook w:val="04A0" w:firstRow="1" w:lastRow="0" w:firstColumn="1" w:lastColumn="0" w:noHBand="0" w:noVBand="1"/>
      </w:tblPr>
      <w:tblGrid>
        <w:gridCol w:w="862"/>
        <w:gridCol w:w="765"/>
        <w:gridCol w:w="2106"/>
        <w:gridCol w:w="1494"/>
        <w:gridCol w:w="1539"/>
        <w:gridCol w:w="1539"/>
        <w:gridCol w:w="1575"/>
      </w:tblGrid>
      <w:tr w:rsidR="00CD0FA8" w:rsidRPr="00CD0FA8" w:rsidTr="00AB32D5">
        <w:trPr>
          <w:trHeight w:val="1447"/>
        </w:trPr>
        <w:tc>
          <w:tcPr>
            <w:tcW w:w="436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Nr.</w:t>
            </w:r>
          </w:p>
        </w:tc>
        <w:tc>
          <w:tcPr>
            <w:tcW w:w="387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Kap.</w:t>
            </w:r>
          </w:p>
        </w:tc>
        <w:tc>
          <w:tcPr>
            <w:tcW w:w="1066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Emërtimi</w:t>
            </w:r>
          </w:p>
        </w:tc>
        <w:tc>
          <w:tcPr>
            <w:tcW w:w="756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Llogaria ekonomike</w:t>
            </w:r>
          </w:p>
        </w:tc>
        <w:tc>
          <w:tcPr>
            <w:tcW w:w="779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Plani/ lekë </w:t>
            </w:r>
          </w:p>
        </w:tc>
        <w:tc>
          <w:tcPr>
            <w:tcW w:w="779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Fakti/lekë </w:t>
            </w:r>
          </w:p>
        </w:tc>
        <w:tc>
          <w:tcPr>
            <w:tcW w:w="797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Realizuar në %</w:t>
            </w:r>
          </w:p>
        </w:tc>
      </w:tr>
      <w:tr w:rsidR="00CD0FA8" w:rsidRPr="00CD0FA8" w:rsidTr="00AB32D5">
        <w:trPr>
          <w:trHeight w:val="1465"/>
        </w:trPr>
        <w:tc>
          <w:tcPr>
            <w:tcW w:w="43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Paga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6000000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36,423,361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12,959,361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35.58 %</w:t>
            </w:r>
          </w:p>
        </w:tc>
      </w:tr>
      <w:tr w:rsidR="00CD0FA8" w:rsidRPr="00CD0FA8" w:rsidTr="00C65F94">
        <w:trPr>
          <w:trHeight w:val="1230"/>
        </w:trPr>
        <w:tc>
          <w:tcPr>
            <w:tcW w:w="43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Sigurime shoqërore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6010000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5,881,868 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1,981 ,868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33.69 %</w:t>
            </w:r>
          </w:p>
        </w:tc>
      </w:tr>
      <w:tr w:rsidR="00CD0FA8" w:rsidRPr="00CD0FA8" w:rsidTr="00AB32D5">
        <w:trPr>
          <w:trHeight w:val="1240"/>
        </w:trPr>
        <w:tc>
          <w:tcPr>
            <w:tcW w:w="43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Shpenzime operative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6020000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100,816,938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30,151,733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29.09 %</w:t>
            </w:r>
          </w:p>
        </w:tc>
      </w:tr>
      <w:tr w:rsidR="00CD0FA8" w:rsidRPr="00CD0FA8" w:rsidTr="00AB32D5">
        <w:trPr>
          <w:trHeight w:val="1222"/>
        </w:trPr>
        <w:tc>
          <w:tcPr>
            <w:tcW w:w="43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Shpenzime operative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6050000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1,501,658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501,658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33.40 %</w:t>
            </w:r>
          </w:p>
        </w:tc>
      </w:tr>
      <w:tr w:rsidR="00CD0FA8" w:rsidRPr="00CD0FA8" w:rsidTr="00C65F94">
        <w:trPr>
          <w:trHeight w:val="1158"/>
        </w:trPr>
        <w:tc>
          <w:tcPr>
            <w:tcW w:w="43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6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Shpenzime për investime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2310000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2,514,200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514,200</w:t>
            </w:r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color w:val="auto"/>
                <w:sz w:val="24"/>
                <w:szCs w:val="24"/>
              </w:rPr>
              <w:t>20.45 %</w:t>
            </w:r>
          </w:p>
        </w:tc>
      </w:tr>
      <w:tr w:rsidR="00CD0FA8" w:rsidRPr="00CD0FA8" w:rsidTr="00AB32D5">
        <w:trPr>
          <w:trHeight w:val="1852"/>
        </w:trPr>
        <w:tc>
          <w:tcPr>
            <w:tcW w:w="436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87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66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Totali</w:t>
            </w:r>
          </w:p>
        </w:tc>
        <w:tc>
          <w:tcPr>
            <w:tcW w:w="756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147,138,025</w:t>
            </w:r>
          </w:p>
        </w:tc>
        <w:tc>
          <w:tcPr>
            <w:tcW w:w="779" w:type="pct"/>
            <w:shd w:val="clear" w:color="auto" w:fill="D5DCE4"/>
            <w:vAlign w:val="center"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CD0FA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46,108,820</w:t>
            </w:r>
          </w:p>
        </w:tc>
        <w:tc>
          <w:tcPr>
            <w:tcW w:w="797" w:type="pct"/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D6266E" w:rsidRPr="00CD0FA8" w:rsidRDefault="00D6266E" w:rsidP="00D6266E">
      <w:pPr>
        <w:autoSpaceDE w:val="0"/>
        <w:autoSpaceDN w:val="0"/>
        <w:adjustRightInd w:val="0"/>
        <w:spacing w:before="0" w:after="120" w:line="276" w:lineRule="auto"/>
        <w:jc w:val="both"/>
        <w:rPr>
          <w:rFonts w:ascii="Times New Roman" w:eastAsia="Constantia" w:hAnsi="Times New Roman"/>
          <w:b/>
          <w:i/>
          <w:color w:val="auto"/>
          <w:sz w:val="24"/>
          <w:szCs w:val="24"/>
          <w:lang w:val="sq-AL"/>
        </w:rPr>
      </w:pPr>
    </w:p>
    <w:p w:rsidR="00D6266E" w:rsidRPr="00CD0FA8" w:rsidRDefault="00D6266E" w:rsidP="00D6266E">
      <w:pPr>
        <w:autoSpaceDE w:val="0"/>
        <w:autoSpaceDN w:val="0"/>
        <w:adjustRightInd w:val="0"/>
        <w:spacing w:before="0" w:after="120" w:line="276" w:lineRule="auto"/>
        <w:jc w:val="both"/>
        <w:rPr>
          <w:rFonts w:ascii="Times New Roman" w:eastAsia="Constantia" w:hAnsi="Times New Roman"/>
          <w:b/>
          <w:i/>
          <w:color w:val="auto"/>
          <w:sz w:val="24"/>
          <w:szCs w:val="24"/>
          <w:lang w:val="sq-AL"/>
        </w:rPr>
      </w:pPr>
      <w:r w:rsidRPr="00CD0FA8">
        <w:rPr>
          <w:rFonts w:ascii="Times New Roman" w:hAnsi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0941F328" wp14:editId="4219F3E9">
            <wp:extent cx="5765800" cy="3707765"/>
            <wp:effectExtent l="0" t="0" r="6350" b="6985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266E" w:rsidRPr="00CD0FA8" w:rsidRDefault="00D6266E" w:rsidP="00D6266E">
      <w:pPr>
        <w:autoSpaceDE w:val="0"/>
        <w:autoSpaceDN w:val="0"/>
        <w:adjustRightInd w:val="0"/>
        <w:spacing w:before="0" w:after="120" w:line="276" w:lineRule="auto"/>
        <w:jc w:val="both"/>
        <w:rPr>
          <w:rFonts w:ascii="Times New Roman" w:eastAsia="Constantia" w:hAnsi="Times New Roman"/>
          <w:b/>
          <w:i/>
          <w:color w:val="auto"/>
          <w:sz w:val="24"/>
          <w:szCs w:val="24"/>
          <w:lang w:val="sq-AL"/>
        </w:rPr>
      </w:pPr>
    </w:p>
    <w:p w:rsidR="00D6266E" w:rsidRPr="00CD0FA8" w:rsidRDefault="00D6266E" w:rsidP="00D6266E">
      <w:pPr>
        <w:autoSpaceDE w:val="0"/>
        <w:autoSpaceDN w:val="0"/>
        <w:adjustRightInd w:val="0"/>
        <w:spacing w:before="0" w:after="120" w:line="276" w:lineRule="auto"/>
        <w:jc w:val="both"/>
        <w:rPr>
          <w:rFonts w:ascii="Times New Roman" w:eastAsia="Constantia" w:hAnsi="Times New Roman"/>
          <w:b/>
          <w:i/>
          <w:color w:val="auto"/>
          <w:sz w:val="24"/>
          <w:szCs w:val="24"/>
          <w:lang w:val="sq-AL"/>
        </w:rPr>
      </w:pPr>
      <w:r w:rsidRPr="00CD0FA8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 wp14:anchorId="78AF1C30" wp14:editId="70D968E0">
            <wp:extent cx="5765800" cy="3973195"/>
            <wp:effectExtent l="0" t="0" r="6350" b="8255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266E" w:rsidRPr="00CD0FA8" w:rsidRDefault="00D6266E" w:rsidP="00AB32D5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D0FA8">
        <w:rPr>
          <w:rFonts w:ascii="Times New Roman" w:hAnsi="Times New Roman"/>
          <w:color w:val="auto"/>
          <w:sz w:val="24"/>
          <w:szCs w:val="24"/>
        </w:rPr>
        <w:lastRenderedPageBreak/>
        <w:t>Të ardhurat e arkëtuara nga shërbimet e realizuara nga ASCAL sipas Ligit 80/2015 “Për Arsimin e Lartë dhe Kërkimin Shkencor në Institucionet e Arsimit të Lartë në Republikën e Shqipërisë” dhe Vendimit 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Lartë”, i ndryshuar shpërndahen 10% në buxhetin e shtetit dhe 90% në buxhetin e Agjencisë. Ato evidentohen, autorizohen dhe përdoren me strukturë të vecantë buxhetore në kapitullin 6, “</w:t>
      </w:r>
      <w:r w:rsidRPr="00CD0FA8">
        <w:rPr>
          <w:rFonts w:ascii="Times New Roman" w:hAnsi="Times New Roman"/>
          <w:i/>
          <w:color w:val="auto"/>
          <w:sz w:val="24"/>
          <w:szCs w:val="24"/>
        </w:rPr>
        <w:t>Të ardhura jashtë limitit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”. </w:t>
      </w:r>
    </w:p>
    <w:p w:rsidR="00D6266E" w:rsidRPr="00CD0FA8" w:rsidRDefault="00D6266E" w:rsidP="00AB32D5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D0FA8">
        <w:rPr>
          <w:rFonts w:ascii="Times New Roman" w:hAnsi="Times New Roman"/>
          <w:color w:val="auto"/>
          <w:sz w:val="24"/>
          <w:szCs w:val="24"/>
        </w:rPr>
        <w:t xml:space="preserve">ASCAL trashëgon të ardhura vetëm nga viti 2021 </w:t>
      </w:r>
      <w:r w:rsidRPr="00CD0FA8">
        <w:rPr>
          <w:rFonts w:ascii="Times New Roman" w:hAnsi="Times New Roman"/>
          <w:b/>
          <w:color w:val="auto"/>
          <w:sz w:val="24"/>
          <w:szCs w:val="24"/>
          <w:u w:val="single"/>
        </w:rPr>
        <w:t>60,573,181 lekë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 , projekti i UPT </w:t>
      </w:r>
      <w:r w:rsidRPr="00CD0FA8">
        <w:rPr>
          <w:rFonts w:ascii="Times New Roman" w:hAnsi="Times New Roman"/>
          <w:b/>
          <w:color w:val="auto"/>
          <w:sz w:val="24"/>
          <w:szCs w:val="24"/>
          <w:u w:val="single"/>
        </w:rPr>
        <w:t>1,846,060 lekë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 dhe të ardhura ndër vite </w:t>
      </w:r>
      <w:r w:rsidRPr="00CD0FA8">
        <w:rPr>
          <w:rFonts w:ascii="Times New Roman" w:hAnsi="Times New Roman"/>
          <w:b/>
          <w:color w:val="auto"/>
          <w:sz w:val="24"/>
          <w:szCs w:val="24"/>
          <w:u w:val="single"/>
        </w:rPr>
        <w:t>86.564.844 lekë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,  duke siguruar një buxhet për vitin 2021 në vlerën:  </w:t>
      </w:r>
      <w:r w:rsidRPr="00CD0FA8">
        <w:rPr>
          <w:rFonts w:ascii="Times New Roman" w:hAnsi="Times New Roman"/>
          <w:b/>
          <w:color w:val="auto"/>
          <w:sz w:val="24"/>
          <w:szCs w:val="24"/>
          <w:u w:val="single"/>
        </w:rPr>
        <w:t>148.984.085 lekë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, fonde sipas zërave (paga art.600; sigurimet shoqërore art. 601; shpenzime operative, art. 602 , shpenzime operative 605 dhe investime 231. </w:t>
      </w:r>
    </w:p>
    <w:p w:rsidR="00D6266E" w:rsidRPr="00AB32D5" w:rsidRDefault="00D6266E" w:rsidP="00AB32D5">
      <w:pPr>
        <w:pStyle w:val="Caption"/>
        <w:keepNext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AB32D5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Tabela 7: </w:t>
      </w:r>
      <w:r w:rsidRPr="00AB32D5">
        <w:rPr>
          <w:rFonts w:ascii="Times New Roman" w:hAnsi="Times New Roman"/>
          <w:color w:val="auto"/>
          <w:sz w:val="24"/>
          <w:szCs w:val="24"/>
          <w:lang w:val="it-IT"/>
        </w:rPr>
        <w:t>Të ardhura të arkëtuara për vitit 2021</w:t>
      </w:r>
    </w:p>
    <w:tbl>
      <w:tblPr>
        <w:tblW w:w="93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692"/>
        <w:gridCol w:w="1018"/>
        <w:gridCol w:w="1710"/>
        <w:gridCol w:w="1260"/>
        <w:gridCol w:w="1350"/>
        <w:gridCol w:w="1350"/>
        <w:gridCol w:w="1440"/>
      </w:tblGrid>
      <w:tr w:rsidR="00CD0FA8" w:rsidRPr="00CD0FA8" w:rsidTr="00C65F94">
        <w:trPr>
          <w:trHeight w:val="9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Nr.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Kap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 xml:space="preserve">Të ardhura     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Lloji i të ardhurave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Arkëtuar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266E" w:rsidRPr="00CD0FA8" w:rsidRDefault="00D6266E" w:rsidP="00C65F94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Pjesa e Buxhetit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266E" w:rsidRPr="00CD0FA8" w:rsidRDefault="00D6266E" w:rsidP="00C65F94">
            <w:pPr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Pjesa e institucionit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Rritje e autorizuar</w:t>
            </w:r>
          </w:p>
        </w:tc>
      </w:tr>
      <w:tr w:rsidR="00CD0FA8" w:rsidRPr="00CD0FA8" w:rsidTr="00C65F94">
        <w:trPr>
          <w:trHeight w:val="167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06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7190990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Shërbimet që i kryen ASCAL institucioneve të arsimit të lartë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 </w:t>
            </w:r>
          </w:p>
          <w:p w:rsidR="00D6266E" w:rsidRPr="00CD0FA8" w:rsidRDefault="00D6266E" w:rsidP="00C65F94">
            <w:pPr>
              <w:jc w:val="center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67,303,534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66E" w:rsidRPr="00CD0FA8" w:rsidRDefault="00D6266E" w:rsidP="00C65F94">
            <w:pPr>
              <w:jc w:val="center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6,730,353</w:t>
            </w: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 xml:space="preserve">  </w:t>
            </w: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</w:rPr>
            </w:pPr>
          </w:p>
          <w:p w:rsidR="00D6266E" w:rsidRPr="00CD0FA8" w:rsidRDefault="00D6266E" w:rsidP="00C65F94">
            <w:pPr>
              <w:jc w:val="center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60,573,181</w:t>
            </w: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 xml:space="preserve">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D6266E" w:rsidRPr="00CD0FA8" w:rsidRDefault="00D6266E" w:rsidP="00C65F94">
            <w:pPr>
              <w:jc w:val="center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60,573,181</w:t>
            </w:r>
          </w:p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CD0FA8" w:rsidRPr="00CD0FA8" w:rsidTr="00C65F94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06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7211100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Te ardhura nga Projekti ENGINE i UPT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center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1,846,060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266E" w:rsidRPr="00CD0FA8" w:rsidRDefault="00D6266E" w:rsidP="00C65F94">
            <w:pPr>
              <w:jc w:val="center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1,846,060</w:t>
            </w:r>
          </w:p>
          <w:p w:rsidR="00D6266E" w:rsidRPr="00CD0FA8" w:rsidRDefault="00D6266E" w:rsidP="00C65F9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center"/>
              <w:rPr>
                <w:rFonts w:ascii="Times New Roman" w:hAnsi="Times New Roman"/>
                <w:color w:val="auto"/>
              </w:rPr>
            </w:pPr>
            <w:r w:rsidRPr="00CD0FA8">
              <w:rPr>
                <w:rFonts w:ascii="Times New Roman" w:hAnsi="Times New Roman"/>
                <w:color w:val="auto"/>
              </w:rPr>
              <w:t>1,846,060</w:t>
            </w:r>
          </w:p>
        </w:tc>
      </w:tr>
      <w:tr w:rsidR="00CD0FA8" w:rsidRPr="00CD0FA8" w:rsidTr="00C65F94">
        <w:trPr>
          <w:trHeight w:val="69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CD0FA8">
              <w:rPr>
                <w:rFonts w:ascii="Times New Roman" w:hAnsi="Times New Roman"/>
                <w:b/>
                <w:bCs/>
                <w:color w:val="auto"/>
              </w:rPr>
              <w:t>Totali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  <w:r w:rsidRPr="00CD0FA8">
              <w:rPr>
                <w:rFonts w:ascii="Times New Roman" w:hAnsi="Times New Roman"/>
                <w:b/>
                <w:color w:val="auto"/>
              </w:rPr>
              <w:t> </w:t>
            </w: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  <w:r w:rsidRPr="00CD0FA8">
              <w:rPr>
                <w:rFonts w:ascii="Times New Roman" w:hAnsi="Times New Roman"/>
                <w:b/>
                <w:color w:val="auto"/>
              </w:rPr>
              <w:t>69,149,594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  <w:r w:rsidRPr="00CD0FA8">
              <w:rPr>
                <w:rFonts w:ascii="Times New Roman" w:hAnsi="Times New Roman"/>
                <w:b/>
                <w:color w:val="auto"/>
              </w:rPr>
              <w:t>6,730,353</w:t>
            </w: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  <w:r w:rsidRPr="00CD0FA8">
              <w:rPr>
                <w:rFonts w:ascii="Times New Roman" w:hAnsi="Times New Roman"/>
                <w:b/>
                <w:color w:val="auto"/>
              </w:rPr>
              <w:t xml:space="preserve">  </w:t>
            </w: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  <w:r w:rsidRPr="00CD0FA8">
              <w:rPr>
                <w:rFonts w:ascii="Times New Roman" w:hAnsi="Times New Roman"/>
                <w:b/>
                <w:color w:val="auto"/>
              </w:rPr>
              <w:t>62,419,241</w:t>
            </w: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  <w:r w:rsidRPr="00CD0FA8">
              <w:rPr>
                <w:rFonts w:ascii="Times New Roman" w:hAnsi="Times New Roman"/>
                <w:b/>
                <w:color w:val="auto"/>
              </w:rPr>
              <w:t xml:space="preserve">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  <w:r w:rsidRPr="00CD0FA8">
              <w:rPr>
                <w:rFonts w:ascii="Times New Roman" w:hAnsi="Times New Roman"/>
                <w:b/>
                <w:color w:val="auto"/>
              </w:rPr>
              <w:t>62,419,241</w:t>
            </w:r>
          </w:p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D0FA8" w:rsidRPr="00CD0FA8" w:rsidTr="00C65F94">
        <w:trPr>
          <w:trHeight w:val="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6E" w:rsidRPr="00CD0FA8" w:rsidRDefault="00D6266E" w:rsidP="00C65F94">
            <w:pPr>
              <w:jc w:val="righ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66E" w:rsidRPr="00CD0FA8" w:rsidRDefault="00D6266E" w:rsidP="00C65F94">
            <w:pPr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D6266E" w:rsidRPr="00E5301F" w:rsidRDefault="00D6266E" w:rsidP="00E5301F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D0FA8">
        <w:rPr>
          <w:rFonts w:ascii="Times New Roman" w:hAnsi="Times New Roman"/>
          <w:color w:val="auto"/>
          <w:sz w:val="24"/>
          <w:szCs w:val="24"/>
        </w:rPr>
        <w:lastRenderedPageBreak/>
        <w:t xml:space="preserve">Vlerën </w:t>
      </w:r>
      <w:r w:rsidRPr="00CD0FA8">
        <w:rPr>
          <w:rFonts w:ascii="Times New Roman" w:hAnsi="Times New Roman"/>
          <w:b/>
          <w:color w:val="auto"/>
          <w:sz w:val="24"/>
          <w:szCs w:val="24"/>
          <w:u w:val="single"/>
        </w:rPr>
        <w:t>60,573,181 lekë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 (90% të të ardhurave të arkëtuara nga IAL-të) në zërin </w:t>
      </w:r>
      <w:r w:rsidRPr="00CD0FA8">
        <w:rPr>
          <w:rFonts w:ascii="Times New Roman" w:hAnsi="Times New Roman"/>
          <w:i/>
          <w:color w:val="auto"/>
          <w:sz w:val="24"/>
          <w:szCs w:val="24"/>
        </w:rPr>
        <w:t>shpenzime operative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, ASCAL-i e përdor në funksion të tyre për: </w:t>
      </w:r>
    </w:p>
    <w:p w:rsidR="00D6266E" w:rsidRPr="00CD0FA8" w:rsidRDefault="00D6266E" w:rsidP="00AB32D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Për pagesat e ekspertëve të jashtëm, vendas ose të huaj , të cilët janë kontraktuar nga ASCAL;</w:t>
      </w:r>
    </w:p>
    <w:p w:rsidR="00D6266E" w:rsidRPr="00CD0FA8" w:rsidRDefault="00D6266E" w:rsidP="00AB32D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Për të mbuluar shpenzimet operative dhe të funksionimit të Bordit të Akreditimit;</w:t>
      </w:r>
    </w:p>
    <w:p w:rsidR="00D6266E" w:rsidRPr="00CD0FA8" w:rsidRDefault="00D6266E" w:rsidP="00AB32D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Për pagesën e anëtarëve të Bordit të Akreditimit dhe shpenzime të tjera të tij;</w:t>
      </w:r>
    </w:p>
    <w:p w:rsidR="00D6266E" w:rsidRPr="00CD0FA8" w:rsidRDefault="00D6266E" w:rsidP="00AB32D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Për pagesën e tarifave të anëtarësimit në organizata ose institucione ndërkombëtare;</w:t>
      </w:r>
    </w:p>
    <w:p w:rsidR="00D6266E" w:rsidRPr="00CD0FA8" w:rsidRDefault="00D6266E" w:rsidP="00AB32D5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Për pagesat për udhëtime dhe dieta të stafit të ASCAL për aktivitetet e zhvilluara jashtë vendit;</w:t>
      </w:r>
    </w:p>
    <w:p w:rsidR="00D6266E" w:rsidRPr="00E5301F" w:rsidRDefault="00D6266E" w:rsidP="00E5301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Për investime</w:t>
      </w:r>
    </w:p>
    <w:p w:rsidR="00D6266E" w:rsidRPr="00CD0FA8" w:rsidRDefault="00D6266E" w:rsidP="00AB32D5">
      <w:pPr>
        <w:numPr>
          <w:ilvl w:val="0"/>
          <w:numId w:val="3"/>
        </w:numPr>
        <w:spacing w:before="0" w:after="120"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it-IT"/>
        </w:rPr>
      </w:pP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>12 mujori i vitit 2020 pjesa që i takon institucionit ishte</w:t>
      </w:r>
      <w:r w:rsidRPr="00CD0FA8">
        <w:rPr>
          <w:rFonts w:ascii="Times New Roman" w:eastAsia="Times New Roman" w:hAnsi="Times New Roman"/>
          <w:color w:val="auto"/>
          <w:sz w:val="24"/>
          <w:szCs w:val="24"/>
          <w:lang w:val="it-IT"/>
        </w:rPr>
        <w:t xml:space="preserve"> </w:t>
      </w:r>
      <w:r w:rsidRPr="00CD0FA8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25,622,129 </w:t>
      </w: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>lekë;</w:t>
      </w:r>
    </w:p>
    <w:p w:rsidR="00D6266E" w:rsidRPr="00CD0FA8" w:rsidRDefault="00D6266E" w:rsidP="00AB32D5">
      <w:pPr>
        <w:numPr>
          <w:ilvl w:val="0"/>
          <w:numId w:val="3"/>
        </w:numPr>
        <w:spacing w:before="0" w:after="120"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val="it-IT"/>
        </w:rPr>
      </w:pP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 xml:space="preserve">12 mujori i vitit 2021 pjesa që i takon institucionit është </w:t>
      </w:r>
      <w:r w:rsidRPr="00CD0FA8">
        <w:rPr>
          <w:rFonts w:ascii="Times New Roman" w:hAnsi="Times New Roman"/>
          <w:b/>
          <w:color w:val="auto"/>
          <w:sz w:val="24"/>
          <w:szCs w:val="24"/>
        </w:rPr>
        <w:t>60,573,181</w:t>
      </w:r>
      <w:r w:rsidRPr="00CD0FA8">
        <w:rPr>
          <w:rFonts w:ascii="Times New Roman" w:eastAsia="Times New Roman" w:hAnsi="Times New Roman"/>
          <w:color w:val="auto"/>
          <w:sz w:val="24"/>
          <w:szCs w:val="24"/>
          <w:lang w:val="it-IT"/>
        </w:rPr>
        <w:t xml:space="preserve"> </w:t>
      </w: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>lekë;</w:t>
      </w:r>
      <w:r w:rsidRPr="00CD0FA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6266E" w:rsidRPr="00CD0FA8" w:rsidRDefault="00D6266E" w:rsidP="00AB32D5">
      <w:pPr>
        <w:spacing w:before="0" w:after="12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CD0FA8">
        <w:rPr>
          <w:rFonts w:ascii="Times New Roman" w:hAnsi="Times New Roman"/>
          <w:b/>
          <w:color w:val="auto"/>
          <w:sz w:val="24"/>
          <w:szCs w:val="24"/>
          <w:lang w:val="sq-AL"/>
        </w:rPr>
        <w:t>Për vitin 2021</w:t>
      </w: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 xml:space="preserve"> ASCAL ka siguruar të ardhura afwrsisht 2.364 here m</w:t>
      </w:r>
      <w:r w:rsidR="00E5301F" w:rsidRPr="00CD0FA8"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 xml:space="preserve"> shumw se n</w:t>
      </w:r>
      <w:r w:rsidR="00E5301F" w:rsidRPr="00CD0FA8"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="00E5301F">
        <w:rPr>
          <w:rFonts w:ascii="Times New Roman" w:hAnsi="Times New Roman"/>
          <w:color w:val="auto"/>
          <w:sz w:val="24"/>
          <w:szCs w:val="24"/>
          <w:lang w:val="sq-AL"/>
        </w:rPr>
        <w:t xml:space="preserve"> v</w:t>
      </w:r>
      <w:r w:rsidRPr="00CD0FA8">
        <w:rPr>
          <w:rFonts w:ascii="Times New Roman" w:hAnsi="Times New Roman"/>
          <w:color w:val="auto"/>
          <w:sz w:val="24"/>
          <w:szCs w:val="24"/>
          <w:lang w:val="sq-AL"/>
        </w:rPr>
        <w:t>itin 2020</w:t>
      </w:r>
    </w:p>
    <w:p w:rsidR="00D6266E" w:rsidRPr="00CD0FA8" w:rsidRDefault="00D6266E" w:rsidP="00D6266E">
      <w:pPr>
        <w:pStyle w:val="Caption"/>
        <w:keepNext/>
        <w:spacing w:after="120" w:line="276" w:lineRule="auto"/>
        <w:rPr>
          <w:rFonts w:ascii="Times New Roman" w:hAnsi="Times New Roman"/>
          <w:b/>
          <w:color w:val="auto"/>
          <w:sz w:val="20"/>
          <w:szCs w:val="20"/>
          <w:lang w:val="it-IT"/>
        </w:rPr>
      </w:pPr>
    </w:p>
    <w:p w:rsidR="00D6266E" w:rsidRPr="00CD0FA8" w:rsidRDefault="00D6266E" w:rsidP="00D6266E">
      <w:pPr>
        <w:pStyle w:val="Caption"/>
        <w:keepNext/>
        <w:spacing w:after="120" w:line="276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 w:rsidRPr="00CD0FA8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Tabela 8: </w:t>
      </w:r>
      <w:r w:rsidRPr="00CD0FA8">
        <w:rPr>
          <w:rFonts w:ascii="Times New Roman" w:hAnsi="Times New Roman"/>
          <w:color w:val="auto"/>
          <w:sz w:val="24"/>
          <w:szCs w:val="24"/>
          <w:lang w:val="it-IT"/>
        </w:rPr>
        <w:t>Përdorimi i të ardhurave për vitin 2021</w:t>
      </w:r>
    </w:p>
    <w:tbl>
      <w:tblPr>
        <w:tblW w:w="0" w:type="auto"/>
        <w:jc w:val="center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600"/>
        <w:gridCol w:w="1519"/>
        <w:gridCol w:w="1751"/>
      </w:tblGrid>
      <w:tr w:rsidR="00CD0FA8" w:rsidRPr="00CD0FA8" w:rsidTr="00C65F94">
        <w:trPr>
          <w:trHeight w:val="359"/>
          <w:jc w:val="center"/>
        </w:trPr>
        <w:tc>
          <w:tcPr>
            <w:tcW w:w="6771" w:type="dxa"/>
            <w:gridSpan w:val="4"/>
            <w:tcBorders>
              <w:top w:val="single" w:sz="8" w:space="0" w:color="8496B0"/>
              <w:left w:val="single" w:sz="8" w:space="0" w:color="8496B0"/>
              <w:bottom w:val="single" w:sz="8" w:space="0" w:color="8496B0"/>
              <w:right w:val="nil"/>
            </w:tcBorders>
            <w:shd w:val="clear" w:color="auto" w:fill="ACB9CA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sq-AL"/>
              </w:rPr>
              <w:t>Shpenzimet operative / Llogaria ekonomike 602.0000</w:t>
            </w:r>
          </w:p>
        </w:tc>
        <w:tc>
          <w:tcPr>
            <w:tcW w:w="1751" w:type="dxa"/>
            <w:tcBorders>
              <w:top w:val="single" w:sz="8" w:space="0" w:color="8496B0"/>
              <w:left w:val="nil"/>
              <w:bottom w:val="single" w:sz="8" w:space="0" w:color="8496B0"/>
              <w:right w:val="single" w:sz="8" w:space="0" w:color="8496B0"/>
            </w:tcBorders>
            <w:shd w:val="clear" w:color="auto" w:fill="ACB9CA"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val="sq-AL"/>
              </w:rPr>
            </w:pPr>
          </w:p>
        </w:tc>
      </w:tr>
      <w:tr w:rsidR="00CD0FA8" w:rsidRPr="00CD0FA8" w:rsidTr="00E5301F">
        <w:trPr>
          <w:trHeight w:val="1177"/>
          <w:jc w:val="center"/>
        </w:trPr>
        <w:tc>
          <w:tcPr>
            <w:tcW w:w="675" w:type="dxa"/>
            <w:tcBorders>
              <w:top w:val="single" w:sz="8" w:space="0" w:color="8496B0"/>
            </w:tcBorders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val="sq-AL"/>
              </w:rPr>
              <w:t>Nr.</w:t>
            </w:r>
          </w:p>
        </w:tc>
        <w:tc>
          <w:tcPr>
            <w:tcW w:w="2977" w:type="dxa"/>
            <w:tcBorders>
              <w:top w:val="single" w:sz="8" w:space="0" w:color="8496B0"/>
            </w:tcBorders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val="sq-AL"/>
              </w:rPr>
            </w:pPr>
            <w:r w:rsidRPr="00CD0FA8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val="sq-AL"/>
              </w:rPr>
              <w:t xml:space="preserve">Emërtimi i </w:t>
            </w:r>
          </w:p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val="sq-AL"/>
              </w:rPr>
              <w:t>shpenzimeve</w:t>
            </w:r>
          </w:p>
        </w:tc>
        <w:tc>
          <w:tcPr>
            <w:tcW w:w="1600" w:type="dxa"/>
            <w:tcBorders>
              <w:top w:val="single" w:sz="8" w:space="0" w:color="8496B0"/>
            </w:tcBorders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val="it-IT"/>
              </w:rPr>
            </w:pPr>
            <w:r w:rsidRPr="00CD0FA8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val="sq-AL"/>
              </w:rPr>
              <w:t>Gjendja e trashëguar deri me 31 dhjetor te vitit 2020</w:t>
            </w:r>
          </w:p>
        </w:tc>
        <w:tc>
          <w:tcPr>
            <w:tcW w:w="1519" w:type="dxa"/>
            <w:tcBorders>
              <w:top w:val="single" w:sz="8" w:space="0" w:color="8496B0"/>
            </w:tcBorders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val="sq-AL"/>
              </w:rPr>
              <w:t>Përdorur në fakt</w:t>
            </w:r>
          </w:p>
        </w:tc>
        <w:tc>
          <w:tcPr>
            <w:tcW w:w="1751" w:type="dxa"/>
            <w:tcBorders>
              <w:top w:val="single" w:sz="8" w:space="0" w:color="8496B0"/>
            </w:tcBorders>
            <w:shd w:val="clear" w:color="auto" w:fill="D5DCE4"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val="sq-AL"/>
              </w:rPr>
            </w:pPr>
            <w:r w:rsidRPr="00CD0FA8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lang w:val="sq-AL"/>
              </w:rPr>
              <w:t>% që zë secili zë në totatin e shpenzimeve</w:t>
            </w:r>
          </w:p>
        </w:tc>
      </w:tr>
      <w:tr w:rsidR="00CD0FA8" w:rsidRPr="00CD0FA8" w:rsidTr="00C65F94">
        <w:trPr>
          <w:trHeight w:val="399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  <w:lang w:val="sq-AL"/>
              </w:rPr>
              <w:t>Shpenzime operative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  <w:lang w:val="sq-AL"/>
              </w:rPr>
              <w:t>86,564,844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CD0FA8" w:rsidRPr="00CD0FA8" w:rsidTr="00C65F94">
        <w:trPr>
          <w:trHeight w:val="114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  <w:lang w:val="sq-AL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  <w:lang w:val="sq-AL"/>
              </w:rPr>
              <w:t>Shpenzime për pagesën e honorareve të Bordit të Akreditimit (Të huaj dhe vendas)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val="sq-AL"/>
              </w:rPr>
            </w:pP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2,743,868</w:t>
            </w:r>
          </w:p>
        </w:tc>
        <w:tc>
          <w:tcPr>
            <w:tcW w:w="1751" w:type="dxa"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31 %</w:t>
            </w:r>
          </w:p>
        </w:tc>
      </w:tr>
      <w:tr w:rsidR="00CD0FA8" w:rsidRPr="00CD0FA8" w:rsidTr="00C65F94">
        <w:trPr>
          <w:trHeight w:val="213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  <w:lang w:val="sq-AL"/>
              </w:rPr>
              <w:t xml:space="preserve">Shpenzime për pagesën e honorareve të ekspertëve vendas dhe të huaj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20,703,101</w:t>
            </w:r>
          </w:p>
        </w:tc>
        <w:tc>
          <w:tcPr>
            <w:tcW w:w="1751" w:type="dxa"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4 %</w:t>
            </w:r>
          </w:p>
        </w:tc>
      </w:tr>
      <w:tr w:rsidR="00CD0FA8" w:rsidRPr="00CD0FA8" w:rsidTr="00C65F94">
        <w:trPr>
          <w:trHeight w:val="27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  <w:lang w:val="sq-AL"/>
              </w:rPr>
              <w:t>Shpenzime udhëtim e qëndrimi brenda dhe jashtë vendit të punonjësve të ASCAL, Bordit të Akreditimit dhe ekspertëve të huaj.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2,724,441</w:t>
            </w:r>
          </w:p>
        </w:tc>
        <w:tc>
          <w:tcPr>
            <w:tcW w:w="1751" w:type="dxa"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32 %</w:t>
            </w:r>
          </w:p>
        </w:tc>
      </w:tr>
      <w:tr w:rsidR="00CD0FA8" w:rsidRPr="00CD0FA8" w:rsidTr="00C65F94">
        <w:trPr>
          <w:trHeight w:val="284"/>
          <w:jc w:val="center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  <w:lang w:val="sq-AL"/>
              </w:rPr>
              <w:t>Shpenzime të ndryshme, detyrime ndaj të tretëve, qera salle, shtypshkrime, përkthime organizime ëorkshop etj.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3,980,323</w:t>
            </w:r>
          </w:p>
        </w:tc>
        <w:tc>
          <w:tcPr>
            <w:tcW w:w="1751" w:type="dxa"/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 22 %</w:t>
            </w:r>
          </w:p>
        </w:tc>
      </w:tr>
      <w:tr w:rsidR="00CD0FA8" w:rsidRPr="00CD0FA8" w:rsidTr="00C65F94">
        <w:trPr>
          <w:trHeight w:val="229"/>
          <w:jc w:val="center"/>
        </w:trPr>
        <w:tc>
          <w:tcPr>
            <w:tcW w:w="675" w:type="dxa"/>
            <w:tcBorders>
              <w:bottom w:val="single" w:sz="8" w:space="0" w:color="8496B0"/>
            </w:tcBorders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bottom w:val="single" w:sz="8" w:space="0" w:color="8496B0"/>
            </w:tcBorders>
            <w:shd w:val="clear" w:color="auto" w:fill="auto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  <w:lang w:val="sq-AL"/>
              </w:rPr>
              <w:t>Shpenzime për pagesën e tarifave të anëtarësimit në organizatat</w:t>
            </w:r>
          </w:p>
        </w:tc>
        <w:tc>
          <w:tcPr>
            <w:tcW w:w="1600" w:type="dxa"/>
            <w:tcBorders>
              <w:bottom w:val="single" w:sz="8" w:space="0" w:color="8496B0"/>
            </w:tcBorders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8" w:space="0" w:color="8496B0"/>
            </w:tcBorders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501,658</w:t>
            </w:r>
          </w:p>
        </w:tc>
        <w:tc>
          <w:tcPr>
            <w:tcW w:w="1751" w:type="dxa"/>
            <w:tcBorders>
              <w:bottom w:val="single" w:sz="8" w:space="0" w:color="8496B0"/>
            </w:tcBorders>
            <w:vAlign w:val="center"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173 %</w:t>
            </w:r>
          </w:p>
        </w:tc>
      </w:tr>
      <w:tr w:rsidR="00CD0FA8" w:rsidRPr="00CD0FA8" w:rsidTr="00C65F94">
        <w:trPr>
          <w:trHeight w:val="549"/>
          <w:jc w:val="center"/>
        </w:trPr>
        <w:tc>
          <w:tcPr>
            <w:tcW w:w="675" w:type="dxa"/>
            <w:tcBorders>
              <w:top w:val="single" w:sz="8" w:space="0" w:color="8496B0"/>
              <w:left w:val="single" w:sz="8" w:space="0" w:color="8496B0"/>
              <w:bottom w:val="single" w:sz="8" w:space="0" w:color="8496B0"/>
            </w:tcBorders>
            <w:shd w:val="clear" w:color="auto" w:fill="auto"/>
            <w:noWrap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8496B0"/>
              <w:bottom w:val="single" w:sz="8" w:space="0" w:color="8496B0"/>
            </w:tcBorders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D0FA8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  <w:t>TOTALI</w:t>
            </w:r>
          </w:p>
        </w:tc>
        <w:tc>
          <w:tcPr>
            <w:tcW w:w="1600" w:type="dxa"/>
            <w:tcBorders>
              <w:top w:val="single" w:sz="8" w:space="0" w:color="8496B0"/>
              <w:bottom w:val="single" w:sz="8" w:space="0" w:color="8496B0"/>
            </w:tcBorders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8" w:space="0" w:color="8496B0"/>
              <w:bottom w:val="single" w:sz="8" w:space="0" w:color="8496B0"/>
            </w:tcBorders>
            <w:shd w:val="clear" w:color="auto" w:fill="D5DCE4"/>
            <w:vAlign w:val="center"/>
            <w:hideMark/>
          </w:tcPr>
          <w:p w:rsidR="00D6266E" w:rsidRPr="00CD0FA8" w:rsidRDefault="00D6266E" w:rsidP="00C65F9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CD0FA8">
              <w:rPr>
                <w:rFonts w:ascii="Times New Roman" w:hAnsi="Times New Roman"/>
                <w:b/>
                <w:color w:val="auto"/>
              </w:rPr>
              <w:t>30,653,391</w:t>
            </w:r>
          </w:p>
          <w:p w:rsidR="00D6266E" w:rsidRPr="00CD0FA8" w:rsidRDefault="00D6266E" w:rsidP="00C65F94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8" w:space="0" w:color="8496B0"/>
              <w:bottom w:val="single" w:sz="8" w:space="0" w:color="8496B0"/>
              <w:right w:val="single" w:sz="8" w:space="0" w:color="8496B0"/>
            </w:tcBorders>
            <w:shd w:val="clear" w:color="auto" w:fill="D5DCE4"/>
            <w:vAlign w:val="center"/>
          </w:tcPr>
          <w:p w:rsidR="00D6266E" w:rsidRPr="00CD0FA8" w:rsidRDefault="00D6266E" w:rsidP="00C65F94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D6266E" w:rsidRDefault="00D6266E" w:rsidP="00D6266E">
      <w:pPr>
        <w:jc w:val="center"/>
        <w:rPr>
          <w:rFonts w:ascii="Times New Roman" w:hAnsi="Times New Roman"/>
          <w:noProof/>
          <w:color w:val="auto"/>
          <w:sz w:val="28"/>
        </w:rPr>
      </w:pPr>
      <w:r w:rsidRPr="00CD0FA8">
        <w:rPr>
          <w:rFonts w:ascii="Times New Roman" w:hAnsi="Times New Roman"/>
          <w:noProof/>
          <w:color w:val="auto"/>
        </w:rPr>
        <w:lastRenderedPageBreak/>
        <w:drawing>
          <wp:inline distT="0" distB="0" distL="0" distR="0" wp14:anchorId="5F995AED" wp14:editId="19421230">
            <wp:extent cx="5556885" cy="3439795"/>
            <wp:effectExtent l="0" t="0" r="5715" b="825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301F" w:rsidRPr="00CD0FA8" w:rsidRDefault="00E5301F" w:rsidP="00D6266E">
      <w:pPr>
        <w:jc w:val="center"/>
        <w:rPr>
          <w:rFonts w:ascii="Times New Roman" w:hAnsi="Times New Roman"/>
          <w:noProof/>
          <w:color w:val="auto"/>
          <w:sz w:val="28"/>
        </w:rPr>
      </w:pPr>
    </w:p>
    <w:p w:rsidR="00D6266E" w:rsidRPr="00CD0FA8" w:rsidRDefault="00D6266E" w:rsidP="00EA2B8E">
      <w:pPr>
        <w:pStyle w:val="Default"/>
        <w:spacing w:line="360" w:lineRule="auto"/>
        <w:jc w:val="both"/>
        <w:rPr>
          <w:color w:val="auto"/>
          <w:lang w:val="sq-AL"/>
        </w:rPr>
      </w:pPr>
      <w:r w:rsidRPr="00CD0FA8">
        <w:rPr>
          <w:color w:val="auto"/>
          <w:lang w:val="sq-AL"/>
        </w:rPr>
        <w:t>Ascal në muajin korrik 2021 është bërë pjesë e Projekti për ngritjen e kapaciteteve në fushën e arsimit të lartë, programit bashkëfinancuar erasmus + të Bashkimit Evropian “Modernizimi i kurrikulave inxhinierike në energjinë e rinovueshme në universitetet shqiptare” përmes një marrëveshje partneriteti.</w:t>
      </w:r>
    </w:p>
    <w:p w:rsidR="00D6266E" w:rsidRPr="00CD0FA8" w:rsidRDefault="00D6266E" w:rsidP="00EA2B8E">
      <w:pPr>
        <w:pStyle w:val="Default"/>
        <w:spacing w:line="360" w:lineRule="auto"/>
        <w:jc w:val="both"/>
        <w:rPr>
          <w:b/>
          <w:color w:val="auto"/>
          <w:u w:val="single"/>
        </w:rPr>
      </w:pPr>
      <w:r w:rsidRPr="00CD0FA8">
        <w:rPr>
          <w:color w:val="auto"/>
        </w:rPr>
        <w:t>Koordinatori ka transferuar pjesën e kontributit të grantit Erasmus + që korrespondon me pwrfituesin partner ASCAL në thesar shumën 1.846.060 leke, për të cilën nuk është bërë asnjë rimbursim</w:t>
      </w:r>
      <w:r w:rsidRPr="00CD0FA8">
        <w:rPr>
          <w:color w:val="auto"/>
          <w:u w:val="single"/>
        </w:rPr>
        <w:t>, vlera</w:t>
      </w:r>
      <w:r w:rsidRPr="00CD0FA8">
        <w:rPr>
          <w:b/>
          <w:color w:val="auto"/>
          <w:u w:val="single"/>
        </w:rPr>
        <w:t xml:space="preserve"> 1,846,060/123.4 = 14,960 euro</w:t>
      </w:r>
      <w:r w:rsidRPr="00CD0FA8">
        <w:rPr>
          <w:color w:val="auto"/>
          <w:u w:val="single"/>
        </w:rPr>
        <w:t xml:space="preserve">     </w:t>
      </w:r>
      <w:r w:rsidRPr="00CD0FA8">
        <w:rPr>
          <w:b/>
          <w:color w:val="auto"/>
          <w:u w:val="single"/>
        </w:rPr>
        <w:t>Granti 29,920 euro* 50%= 14.960 euro).</w:t>
      </w:r>
    </w:p>
    <w:p w:rsidR="00D6266E" w:rsidRPr="00CD0FA8" w:rsidRDefault="00D6266E" w:rsidP="00D6266E">
      <w:pPr>
        <w:pStyle w:val="Default"/>
        <w:jc w:val="both"/>
        <w:rPr>
          <w:b/>
          <w:color w:val="auto"/>
          <w:u w:val="single"/>
        </w:rPr>
      </w:pPr>
    </w:p>
    <w:p w:rsidR="00D6266E" w:rsidRPr="00CD0FA8" w:rsidRDefault="00D6266E" w:rsidP="00D6266E">
      <w:pPr>
        <w:pStyle w:val="Default"/>
        <w:jc w:val="both"/>
        <w:rPr>
          <w:b/>
          <w:color w:val="auto"/>
          <w:u w:val="single"/>
        </w:rPr>
      </w:pPr>
    </w:p>
    <w:p w:rsidR="00D6266E" w:rsidRPr="00CD0FA8" w:rsidRDefault="00D6266E" w:rsidP="00D6266E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CD0FA8">
        <w:rPr>
          <w:b/>
          <w:sz w:val="24"/>
          <w:szCs w:val="24"/>
        </w:rPr>
        <w:t xml:space="preserve">Gjatë vitit 2021  për vlerësimin e jashtëm dhe akreditimin institucional si dhe të programeve të studimit janë kryer pagesat për:   </w:t>
      </w:r>
    </w:p>
    <w:p w:rsidR="00D6266E" w:rsidRPr="00CD0FA8" w:rsidRDefault="00D6266E" w:rsidP="00D6266E">
      <w:pPr>
        <w:pStyle w:val="ListParagraph"/>
        <w:ind w:left="1080"/>
        <w:jc w:val="both"/>
        <w:rPr>
          <w:b/>
          <w:sz w:val="24"/>
          <w:szCs w:val="24"/>
        </w:rPr>
      </w:pPr>
    </w:p>
    <w:p w:rsidR="00D6266E" w:rsidRPr="00CD0FA8" w:rsidRDefault="00D6266E" w:rsidP="00D6266E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b/>
          <w:sz w:val="24"/>
          <w:szCs w:val="24"/>
        </w:rPr>
      </w:pPr>
      <w:r w:rsidRPr="00CD0FA8">
        <w:rPr>
          <w:b/>
          <w:sz w:val="24"/>
          <w:szCs w:val="24"/>
        </w:rPr>
        <w:t>Vlerësimi i jashtëm dhe akreditimi i programeve dy vjecare profesionale</w:t>
      </w: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a. Kolegji Universitar “Reald”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dyvjecare "Ndihmës dentar"</w:t>
      </w:r>
    </w:p>
    <w:p w:rsidR="00D6266E" w:rsidRPr="00CD0FA8" w:rsidRDefault="00D6266E" w:rsidP="00D6266E">
      <w:pPr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b. Universiteti “Fan S. Noli”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lastRenderedPageBreak/>
        <w:t>Diplomë dyvjecare “Edukim per foshnjerine dhe femijerine e hershme”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Dip. Profesionale: "Menaxhim veterinar"</w:t>
      </w:r>
    </w:p>
    <w:p w:rsidR="00D6266E" w:rsidRPr="00CD0FA8" w:rsidRDefault="00D6266E" w:rsidP="00D6266E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c. Kolegji Universitar i Biznesit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dyvjecare "Asistent administrativ"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</w:p>
    <w:p w:rsidR="00D6266E" w:rsidRPr="00CD0FA8" w:rsidRDefault="00D6266E" w:rsidP="00D6266E">
      <w:pPr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d. Kolegji Universitar “Wisdom”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dyvjecare "Asistent Administrativ"</w:t>
      </w:r>
    </w:p>
    <w:p w:rsidR="00D6266E" w:rsidRPr="00CD0FA8" w:rsidRDefault="00D6266E" w:rsidP="00D6266E">
      <w:pPr>
        <w:pStyle w:val="ListParagraph"/>
        <w:jc w:val="both"/>
        <w:rPr>
          <w:b/>
          <w:sz w:val="24"/>
          <w:szCs w:val="24"/>
          <w:lang w:val="en-US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e. Universiteti “Polis”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dyvjecare “Eficience energjetike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Profesionale “Mirëmbajtje rrjetë kompjuterike"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f. Universiteti Europian i Tiranës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Profesionale "Dizajn i aplikuar dhe modë"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Profesionale "Menaxhim"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Profesionale "Aplikime informatike"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Profesionale "Kontabilitet"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Profesionale "Turizëm"</w:t>
      </w:r>
    </w:p>
    <w:p w:rsidR="00D6266E" w:rsidRPr="00CD0FA8" w:rsidRDefault="00D6266E" w:rsidP="00D6266E">
      <w:pPr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6266E" w:rsidRPr="00CD0FA8" w:rsidRDefault="00D6266E" w:rsidP="00D6266E">
      <w:pPr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h. Kolegji Profesional i Tiranës</w:t>
      </w:r>
    </w:p>
    <w:p w:rsidR="00D6266E" w:rsidRPr="00CD0FA8" w:rsidRDefault="00D6266E" w:rsidP="00D6266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Diplomë Profesionale "Administrim zyre"</w:t>
      </w:r>
    </w:p>
    <w:p w:rsidR="00D6266E" w:rsidRPr="00CD0FA8" w:rsidRDefault="00D6266E" w:rsidP="00D6266E">
      <w:pPr>
        <w:pStyle w:val="ListParagraph"/>
        <w:ind w:left="0"/>
        <w:jc w:val="both"/>
        <w:rPr>
          <w:sz w:val="24"/>
          <w:szCs w:val="24"/>
          <w:lang w:val="en-US"/>
        </w:rPr>
      </w:pPr>
    </w:p>
    <w:p w:rsidR="00D6266E" w:rsidRPr="00CD0FA8" w:rsidRDefault="00D6266E" w:rsidP="00D626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D0FA8">
        <w:rPr>
          <w:b/>
          <w:sz w:val="24"/>
          <w:szCs w:val="24"/>
        </w:rPr>
        <w:t>Vlerësimi i jashtëm në kuadër të akreditimit të programeve të ciklit të parë</w:t>
      </w:r>
      <w:r w:rsidRPr="00CD0FA8">
        <w:rPr>
          <w:sz w:val="24"/>
          <w:szCs w:val="24"/>
        </w:rPr>
        <w:t>: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highlight w:val="yellow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 xml:space="preserve">  a. Universiteti “Ismail Qemali” Vlorë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"Pedagogji e specializuar"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"Gjuhe angleze"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"Inxhinieri elektrike"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"Mesuesi per arsimin parashkollor"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"Mesuesi per arsimin fillor"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“Inxhinieri novale”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“Infermieri mami”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“Infermieri e përgjithshme”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“Inxhinieri mekanike”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lastRenderedPageBreak/>
        <w:t>Bsc. “Shkenca kompjuterike”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“Informatikë”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“Teknologji informacioni”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“Gjuhë shqipe dhe letërsi”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“Biologji”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“Kimi”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“Gjuhë italiane”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"Matematikë”</w:t>
      </w:r>
    </w:p>
    <w:p w:rsidR="00D6266E" w:rsidRPr="00CD0FA8" w:rsidRDefault="00D6266E" w:rsidP="00D626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"Navigacion"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b. Universiteti “Fan S. Noli” Korçë</w:t>
      </w:r>
    </w:p>
    <w:p w:rsidR="00D6266E" w:rsidRPr="00CD0FA8" w:rsidRDefault="00D6266E" w:rsidP="00D626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</w:rPr>
        <w:t>Bsc. “</w:t>
      </w:r>
      <w:r w:rsidRPr="00CD0FA8">
        <w:rPr>
          <w:sz w:val="24"/>
          <w:szCs w:val="24"/>
          <w:lang w:val="en-US"/>
        </w:rPr>
        <w:t>Mësuesi për arsimin fillor KL. I-IV"</w:t>
      </w:r>
    </w:p>
    <w:p w:rsidR="00D6266E" w:rsidRPr="00CD0FA8" w:rsidRDefault="00D6266E" w:rsidP="00D626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“Biologji kimi"</w:t>
      </w:r>
    </w:p>
    <w:p w:rsidR="00D6266E" w:rsidRPr="00CD0FA8" w:rsidRDefault="00D6266E" w:rsidP="00D626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"Menaxhim"</w:t>
      </w:r>
    </w:p>
    <w:p w:rsidR="00D6266E" w:rsidRPr="00CD0FA8" w:rsidRDefault="00D6266E" w:rsidP="00D626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"Inxhinieri agronomike"</w:t>
      </w:r>
    </w:p>
    <w:p w:rsidR="00D6266E" w:rsidRPr="00CD0FA8" w:rsidRDefault="00D6266E" w:rsidP="00D626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"Administrim dhe politika sociale"</w:t>
      </w:r>
    </w:p>
    <w:p w:rsidR="00D6266E" w:rsidRPr="00CD0FA8" w:rsidRDefault="00D6266E" w:rsidP="00D626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"Finance-kontabilitet"</w:t>
      </w:r>
    </w:p>
    <w:p w:rsidR="00D6266E" w:rsidRPr="00CD0FA8" w:rsidRDefault="00D6266E" w:rsidP="00D626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"Agroushqim"</w:t>
      </w:r>
    </w:p>
    <w:p w:rsidR="00D6266E" w:rsidRPr="00CD0FA8" w:rsidRDefault="00D6266E" w:rsidP="00D6266E">
      <w:pPr>
        <w:pStyle w:val="ListParagraph"/>
        <w:spacing w:line="360" w:lineRule="auto"/>
        <w:jc w:val="both"/>
        <w:rPr>
          <w:sz w:val="24"/>
          <w:szCs w:val="24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c. Tirana Busines University College</w:t>
      </w:r>
    </w:p>
    <w:p w:rsidR="00D6266E" w:rsidRPr="00CD0FA8" w:rsidRDefault="00D6266E" w:rsidP="00D626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"E drejtë biznesi"</w:t>
      </w:r>
    </w:p>
    <w:p w:rsidR="00D6266E" w:rsidRPr="00CD0FA8" w:rsidRDefault="00D6266E" w:rsidP="00D626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"Administrim biznesi" me profile</w:t>
      </w:r>
    </w:p>
    <w:p w:rsidR="00D6266E" w:rsidRPr="00CD0FA8" w:rsidRDefault="00D6266E" w:rsidP="00D6266E">
      <w:pPr>
        <w:pStyle w:val="ListParagraph"/>
        <w:jc w:val="both"/>
        <w:rPr>
          <w:b/>
          <w:sz w:val="24"/>
          <w:szCs w:val="24"/>
          <w:lang w:val="en-US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ç. Albanian University</w:t>
      </w:r>
    </w:p>
    <w:p w:rsidR="00D6266E" w:rsidRPr="00CD0FA8" w:rsidRDefault="00D6266E" w:rsidP="00D6266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"Inxhinieri Mekatronike"</w:t>
      </w:r>
    </w:p>
    <w:p w:rsidR="00D6266E" w:rsidRPr="00CD0FA8" w:rsidRDefault="00D6266E" w:rsidP="00D6266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“Psikologji e përgjithshme”</w:t>
      </w:r>
    </w:p>
    <w:p w:rsidR="00D6266E" w:rsidRPr="00CD0FA8" w:rsidRDefault="00D6266E" w:rsidP="00D6266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“Shkenca juridike”</w:t>
      </w: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d. Universiteti Katolik “Zoja e Këshillit të Mirë”</w:t>
      </w:r>
    </w:p>
    <w:p w:rsidR="00D6266E" w:rsidRPr="00CD0FA8" w:rsidRDefault="00D6266E" w:rsidP="00D6266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"Ekonomi ndërmarrjeje"</w:t>
      </w:r>
    </w:p>
    <w:p w:rsidR="00D6266E" w:rsidRPr="00CD0FA8" w:rsidRDefault="00D6266E" w:rsidP="00D6266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"Infermieristikë"</w:t>
      </w:r>
    </w:p>
    <w:p w:rsidR="00D6266E" w:rsidRPr="00CD0FA8" w:rsidRDefault="00D6266E" w:rsidP="00D6266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"Fizioterapi"</w:t>
      </w:r>
    </w:p>
    <w:p w:rsidR="00D6266E" w:rsidRPr="00CD0FA8" w:rsidRDefault="00D6266E" w:rsidP="00D6266E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e. Universiteti “Epoka”</w:t>
      </w:r>
    </w:p>
    <w:p w:rsidR="00D6266E" w:rsidRPr="00CD0FA8" w:rsidRDefault="00D6266E" w:rsidP="00D6266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"Informatike ekonomike</w:t>
      </w:r>
    </w:p>
    <w:p w:rsidR="00D6266E" w:rsidRPr="00EA2B8E" w:rsidRDefault="00D6266E" w:rsidP="00D6266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Inxhinieri elektronike dhe komunikimi dixhital"</w:t>
      </w: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lastRenderedPageBreak/>
        <w:t>f. Universiteti “Beder”</w:t>
      </w:r>
    </w:p>
    <w:p w:rsidR="00D6266E" w:rsidRPr="00CD0FA8" w:rsidRDefault="00D6266E" w:rsidP="00D6266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"Marredhenie publike dhe komunikim marketingu"</w:t>
      </w:r>
    </w:p>
    <w:p w:rsidR="00D6266E" w:rsidRPr="00CD0FA8" w:rsidRDefault="00D6266E" w:rsidP="00D6266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"Teknologji informacioni dhe komunikimi"</w:t>
      </w: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h. Kolegji Universiteti i Biznesit</w:t>
      </w:r>
    </w:p>
    <w:p w:rsidR="00D6266E" w:rsidRPr="00CD0FA8" w:rsidRDefault="00D6266E" w:rsidP="00D6266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"Informatikë biznesi"</w:t>
      </w: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i.Universiteti Metropolitan Tirana</w:t>
      </w:r>
    </w:p>
    <w:p w:rsidR="00D6266E" w:rsidRPr="00CD0FA8" w:rsidRDefault="00D6266E" w:rsidP="00D6266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"Inxhinieri ndërtimi"</w:t>
      </w:r>
    </w:p>
    <w:p w:rsidR="00D6266E" w:rsidRPr="00CD0FA8" w:rsidRDefault="00D6266E" w:rsidP="00D6266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"Inxhinieri softëare"</w:t>
      </w:r>
    </w:p>
    <w:p w:rsidR="00D6266E" w:rsidRPr="00CD0FA8" w:rsidRDefault="00D6266E" w:rsidP="00D6266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"Informatikë ekonomike"</w:t>
      </w:r>
    </w:p>
    <w:p w:rsidR="00D6266E" w:rsidRPr="00CD0FA8" w:rsidRDefault="00D6266E" w:rsidP="00D6266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"Inxhinieri kompjuterike"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j. Kolegji Universitar “Logos”</w:t>
      </w:r>
    </w:p>
    <w:p w:rsidR="00D6266E" w:rsidRPr="00CD0FA8" w:rsidRDefault="00D6266E" w:rsidP="00D6266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"Studime në theologjinë sociale dhe shkencat religjoze"</w:t>
      </w:r>
    </w:p>
    <w:p w:rsidR="00D6266E" w:rsidRPr="00CD0FA8" w:rsidRDefault="00D6266E" w:rsidP="00D6266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"Mësuesi për arsimin parashkollor"</w:t>
      </w: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k. Universiteti Mesdhetar i Shqipërisë</w:t>
      </w:r>
    </w:p>
    <w:p w:rsidR="00D6266E" w:rsidRPr="00CD0FA8" w:rsidRDefault="00D6266E" w:rsidP="00D6266E">
      <w:pPr>
        <w:pStyle w:val="ListParagraph"/>
        <w:numPr>
          <w:ilvl w:val="0"/>
          <w:numId w:val="25"/>
        </w:numPr>
        <w:spacing w:after="0" w:line="240" w:lineRule="auto"/>
        <w:jc w:val="left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"Shkenca ekonomike" me profile:</w:t>
      </w:r>
      <w:r w:rsidRPr="00CD0FA8">
        <w:rPr>
          <w:sz w:val="24"/>
          <w:szCs w:val="24"/>
          <w:lang w:val="en-US"/>
        </w:rPr>
        <w:br/>
        <w:t>a. “Administrim biznesi”</w:t>
      </w:r>
      <w:r w:rsidRPr="00CD0FA8">
        <w:rPr>
          <w:sz w:val="24"/>
          <w:szCs w:val="24"/>
          <w:lang w:val="en-US"/>
        </w:rPr>
        <w:br/>
        <w:t>b. “Financë, bankë dhe kontabilitet”</w:t>
      </w:r>
      <w:r w:rsidRPr="00CD0FA8">
        <w:rPr>
          <w:sz w:val="24"/>
          <w:szCs w:val="24"/>
          <w:lang w:val="en-US"/>
        </w:rPr>
        <w:br/>
        <w:t>c. “Biznes dhe ligj”</w:t>
      </w:r>
    </w:p>
    <w:p w:rsidR="00D6266E" w:rsidRPr="00CD0FA8" w:rsidRDefault="00D6266E" w:rsidP="00D6266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"Juridik"</w:t>
      </w: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6266E" w:rsidRPr="00CD0FA8" w:rsidRDefault="00D6266E" w:rsidP="00D6266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b/>
          <w:sz w:val="24"/>
          <w:szCs w:val="24"/>
        </w:rPr>
      </w:pPr>
      <w:r w:rsidRPr="00CD0FA8">
        <w:rPr>
          <w:b/>
          <w:sz w:val="24"/>
          <w:szCs w:val="24"/>
        </w:rPr>
        <w:t>Universiteti “Aldent”</w:t>
      </w:r>
    </w:p>
    <w:p w:rsidR="00D6266E" w:rsidRPr="00CD0FA8" w:rsidRDefault="00D6266E" w:rsidP="00D6266E">
      <w:pPr>
        <w:pStyle w:val="ListParagraph"/>
        <w:numPr>
          <w:ilvl w:val="0"/>
          <w:numId w:val="25"/>
        </w:numPr>
        <w:spacing w:after="0" w:line="240" w:lineRule="auto"/>
        <w:jc w:val="left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Bsc. "Teknikë imazherie dhe radioterapi"</w:t>
      </w:r>
    </w:p>
    <w:p w:rsidR="00D6266E" w:rsidRPr="00CD0FA8" w:rsidRDefault="00D6266E" w:rsidP="00D6266E">
      <w:pPr>
        <w:pStyle w:val="ListParagraph"/>
        <w:rPr>
          <w:b/>
          <w:sz w:val="24"/>
          <w:szCs w:val="24"/>
        </w:rPr>
      </w:pPr>
    </w:p>
    <w:p w:rsidR="00D6266E" w:rsidRPr="00CD0FA8" w:rsidRDefault="00D6266E" w:rsidP="00D6266E">
      <w:pPr>
        <w:pStyle w:val="ListParagraph"/>
        <w:jc w:val="both"/>
        <w:rPr>
          <w:b/>
          <w:sz w:val="24"/>
          <w:szCs w:val="24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C</w:t>
      </w:r>
      <w:r w:rsidRPr="00CD0FA8">
        <w:rPr>
          <w:rFonts w:eastAsia="Times New Roman"/>
          <w:color w:val="auto"/>
          <w:lang w:val="sq-AL"/>
        </w:rPr>
        <w:t xml:space="preserve"> .</w:t>
      </w:r>
      <w:r w:rsidRPr="00CD0FA8">
        <w:rPr>
          <w:rFonts w:eastAsia="Times New Roman"/>
          <w:b/>
          <w:color w:val="auto"/>
          <w:lang w:val="sq-AL"/>
        </w:rPr>
        <w:t>Vlerësimi i jashtëm në kuadër të akreditimit të programeve të ciklit të dytë: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color w:val="auto"/>
          <w:sz w:val="24"/>
          <w:szCs w:val="24"/>
        </w:rPr>
        <w:t>a</w:t>
      </w:r>
      <w:r w:rsidRPr="00CD0FA8">
        <w:rPr>
          <w:rFonts w:ascii="Times New Roman" w:hAnsi="Times New Roman"/>
          <w:b/>
          <w:color w:val="auto"/>
          <w:sz w:val="24"/>
          <w:szCs w:val="24"/>
        </w:rPr>
        <w:t>.  Tirana Busines University College</w:t>
      </w:r>
    </w:p>
    <w:p w:rsidR="00D6266E" w:rsidRPr="00CD0FA8" w:rsidRDefault="00D6266E" w:rsidP="00D626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D0FA8">
        <w:rPr>
          <w:sz w:val="24"/>
          <w:szCs w:val="24"/>
          <w:lang w:val="en-US"/>
        </w:rPr>
        <w:t>Mp.1 vjecar “Administrim biznesi i avancuar” me profile</w:t>
      </w:r>
    </w:p>
    <w:p w:rsidR="00D6266E" w:rsidRPr="00CD0FA8" w:rsidRDefault="00D6266E" w:rsidP="00D626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</w:rPr>
        <w:t>Mp. 1 vjecar “</w:t>
      </w:r>
      <w:r w:rsidRPr="00CD0FA8">
        <w:rPr>
          <w:sz w:val="24"/>
          <w:szCs w:val="24"/>
          <w:lang w:val="en-US"/>
        </w:rPr>
        <w:t>Administrim biznesi”</w:t>
      </w:r>
    </w:p>
    <w:p w:rsidR="00D6266E" w:rsidRPr="00CD0FA8" w:rsidRDefault="00D6266E" w:rsidP="00D626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lastRenderedPageBreak/>
        <w:t>Mp. 1 vjecar “E drejtë biznesi"</w:t>
      </w:r>
    </w:p>
    <w:p w:rsidR="00D6266E" w:rsidRPr="00CD0FA8" w:rsidRDefault="00D6266E" w:rsidP="00D626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"Administrim biznesi"</w:t>
      </w:r>
    </w:p>
    <w:p w:rsidR="00D6266E" w:rsidRPr="00CD0FA8" w:rsidRDefault="00D6266E" w:rsidP="00D6266E">
      <w:pPr>
        <w:pStyle w:val="ListParagraph"/>
        <w:spacing w:line="480" w:lineRule="auto"/>
        <w:ind w:left="0"/>
        <w:jc w:val="both"/>
        <w:rPr>
          <w:sz w:val="24"/>
          <w:szCs w:val="24"/>
          <w:lang w:val="en-US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b. Universiteti “Aleksandër Moisiu” Durrës</w:t>
      </w:r>
    </w:p>
    <w:p w:rsidR="00D6266E" w:rsidRPr="00CD0FA8" w:rsidRDefault="00D6266E" w:rsidP="00D626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</w:rPr>
        <w:t xml:space="preserve">Mp. 1 vjecar </w:t>
      </w:r>
      <w:r w:rsidRPr="00CD0FA8">
        <w:rPr>
          <w:sz w:val="24"/>
          <w:szCs w:val="24"/>
          <w:lang w:val="en-US"/>
        </w:rPr>
        <w:t>“Politika dhe administrim” me profile</w:t>
      </w:r>
    </w:p>
    <w:p w:rsidR="00D6266E" w:rsidRPr="00CD0FA8" w:rsidRDefault="00D6266E" w:rsidP="00D6266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</w:rPr>
        <w:t xml:space="preserve">Mp. 1 vjecar </w:t>
      </w:r>
      <w:r w:rsidRPr="00CD0FA8">
        <w:rPr>
          <w:sz w:val="24"/>
          <w:szCs w:val="24"/>
          <w:lang w:val="en-US"/>
        </w:rPr>
        <w:t>“Politika Publike”</w:t>
      </w: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c. Kolegji Universitar “Reald”</w:t>
      </w:r>
    </w:p>
    <w:p w:rsidR="00D6266E" w:rsidRPr="00CD0FA8" w:rsidRDefault="00D6266E" w:rsidP="00D626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D0FA8">
        <w:rPr>
          <w:sz w:val="24"/>
          <w:szCs w:val="24"/>
        </w:rPr>
        <w:t>Msc. “Financë dhe tregje financiare”</w:t>
      </w:r>
    </w:p>
    <w:p w:rsidR="00D6266E" w:rsidRPr="00CD0FA8" w:rsidRDefault="00D6266E" w:rsidP="00D6266E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d. Albanian University</w:t>
      </w:r>
    </w:p>
    <w:p w:rsidR="00D6266E" w:rsidRPr="00CD0FA8" w:rsidRDefault="00D6266E" w:rsidP="00D6266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“Administrim biznesi”</w:t>
      </w:r>
    </w:p>
    <w:p w:rsidR="00D6266E" w:rsidRPr="00CD0FA8" w:rsidRDefault="00D6266E" w:rsidP="00D6266E">
      <w:pPr>
        <w:pStyle w:val="Default"/>
        <w:numPr>
          <w:ilvl w:val="0"/>
          <w:numId w:val="14"/>
        </w:numPr>
        <w:spacing w:line="276" w:lineRule="auto"/>
        <w:jc w:val="both"/>
        <w:rPr>
          <w:rFonts w:eastAsia="Times New Roman"/>
          <w:color w:val="auto"/>
        </w:rPr>
      </w:pPr>
      <w:r w:rsidRPr="00CD0FA8">
        <w:rPr>
          <w:rFonts w:eastAsia="Times New Roman"/>
          <w:color w:val="auto"/>
        </w:rPr>
        <w:t>Msc. “Menaxhim bankar”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color w:val="auto"/>
          <w:sz w:val="24"/>
          <w:szCs w:val="24"/>
        </w:rPr>
        <w:t xml:space="preserve">e. </w:t>
      </w:r>
      <w:r w:rsidRPr="00CD0FA8">
        <w:rPr>
          <w:rFonts w:ascii="Times New Roman" w:hAnsi="Times New Roman"/>
          <w:b/>
          <w:color w:val="auto"/>
          <w:sz w:val="24"/>
          <w:szCs w:val="24"/>
        </w:rPr>
        <w:t>Universiteti “Metropolitan Tirana</w:t>
      </w:r>
    </w:p>
    <w:p w:rsidR="00D6266E" w:rsidRPr="00CD0FA8" w:rsidRDefault="00D6266E" w:rsidP="00D6266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“Inxhinieri financiare dhe menaxhim risku”</w:t>
      </w:r>
    </w:p>
    <w:p w:rsidR="00D6266E" w:rsidRPr="00CD0FA8" w:rsidRDefault="00D6266E" w:rsidP="00D6266E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"Inxhinieri ndërtimi"  me profile:</w:t>
      </w:r>
      <w:r w:rsidRPr="00CD0FA8">
        <w:rPr>
          <w:sz w:val="24"/>
          <w:szCs w:val="24"/>
          <w:lang w:val="en-US"/>
        </w:rPr>
        <w:br/>
        <w:t>a. “Inxhinieri strukturash”</w:t>
      </w:r>
      <w:r w:rsidRPr="00CD0FA8">
        <w:rPr>
          <w:sz w:val="24"/>
          <w:szCs w:val="24"/>
          <w:lang w:val="en-US"/>
        </w:rPr>
        <w:br/>
        <w:t>b. “Inxhinieri infrastrukturë transporti”</w:t>
      </w:r>
    </w:p>
    <w:p w:rsidR="00D6266E" w:rsidRPr="00CD0FA8" w:rsidRDefault="00D6266E" w:rsidP="00D6266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(PI) "Arkitekturë"</w:t>
      </w:r>
    </w:p>
    <w:p w:rsidR="00D6266E" w:rsidRPr="00CD0FA8" w:rsidRDefault="00D6266E" w:rsidP="00D6266E">
      <w:pPr>
        <w:pStyle w:val="ListParagraph"/>
        <w:jc w:val="both"/>
        <w:rPr>
          <w:b/>
          <w:sz w:val="24"/>
          <w:szCs w:val="24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f. Universiteti Katolik “Zoja e Këshillit të Mirë”</w:t>
      </w:r>
    </w:p>
    <w:p w:rsidR="00D6266E" w:rsidRPr="00CD0FA8" w:rsidRDefault="00D6266E" w:rsidP="00D6266E">
      <w:pPr>
        <w:pStyle w:val="Default"/>
        <w:numPr>
          <w:ilvl w:val="0"/>
          <w:numId w:val="16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Msc. (PI) “Arkitekturë”</w:t>
      </w:r>
    </w:p>
    <w:p w:rsidR="00D6266E" w:rsidRPr="00CD0FA8" w:rsidRDefault="00D6266E" w:rsidP="00D626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"Ekonomi dhe menaxhim"</w:t>
      </w:r>
    </w:p>
    <w:p w:rsidR="00D6266E" w:rsidRPr="00CD0FA8" w:rsidRDefault="00D6266E" w:rsidP="00D626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"Shkenca rehailituese të profesioneve shëndetësore"</w:t>
      </w:r>
    </w:p>
    <w:p w:rsidR="00D6266E" w:rsidRPr="00CD0FA8" w:rsidRDefault="00D6266E" w:rsidP="00D626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"Shkenca infermieristike dhe obstetrike"</w:t>
      </w:r>
    </w:p>
    <w:p w:rsidR="00D6266E" w:rsidRPr="00CD0FA8" w:rsidRDefault="00D6266E" w:rsidP="00D626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(PI) " Mjekësi"</w:t>
      </w:r>
    </w:p>
    <w:p w:rsidR="00D6266E" w:rsidRPr="00CD0FA8" w:rsidRDefault="00D6266E" w:rsidP="00D626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(PI) "Odontoiatri dhe proteza dentare"</w:t>
      </w:r>
    </w:p>
    <w:p w:rsidR="00D6266E" w:rsidRPr="00CD0FA8" w:rsidRDefault="00D6266E" w:rsidP="00D626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(PI). "Farmaci"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g. Kolegji Universitar Wisdom</w:t>
      </w:r>
    </w:p>
    <w:p w:rsidR="00D6266E" w:rsidRPr="00CD0FA8" w:rsidRDefault="00D6266E" w:rsidP="00D626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"Psikologji shkollore dhe edukimi"</w:t>
      </w:r>
    </w:p>
    <w:p w:rsidR="00D6266E" w:rsidRPr="00CD0FA8" w:rsidRDefault="00D6266E" w:rsidP="00D6266E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h. Albanian University</w:t>
      </w:r>
    </w:p>
    <w:p w:rsidR="00D6266E" w:rsidRPr="00CD0FA8" w:rsidRDefault="00D6266E" w:rsidP="00D6266E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Mp.1 vjecar “Shkenca penale”</w:t>
      </w:r>
    </w:p>
    <w:p w:rsidR="00D6266E" w:rsidRPr="00CD0FA8" w:rsidRDefault="00D6266E" w:rsidP="00D6266E">
      <w:pPr>
        <w:pStyle w:val="Default"/>
        <w:numPr>
          <w:ilvl w:val="0"/>
          <w:numId w:val="16"/>
        </w:numPr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lastRenderedPageBreak/>
        <w:t>Mp. 1 vjecar “E drejtë penale”</w:t>
      </w:r>
    </w:p>
    <w:p w:rsidR="00D6266E" w:rsidRPr="00CD0FA8" w:rsidRDefault="00D6266E" w:rsidP="00D626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 xml:space="preserve">Mp.1 vjecar. "Pedagogji" me profile: 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 xml:space="preserve">a. “Didaktikë” 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b. “Menaxhim arsimi”</w:t>
      </w:r>
    </w:p>
    <w:p w:rsidR="00D6266E" w:rsidRPr="00CD0FA8" w:rsidRDefault="00D6266E" w:rsidP="00D6266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"Shkenca juridike" me profile: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a. “Marrëdhënie ndërkombëtare”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b. “E drejte publike dhe administrative”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c. “E drejtë private”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ç. “E drejtë ndërkombëtare dhe Bashkimi Europian”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d. “E drejtë penale”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i. Universiteti “Beder”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Mp 1 vjecar "Komunikim marketing"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j. Universiteti Europian i Tiranës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“Studime religioze" me profile: a. “Krahasimi i religjioneve” b. “Çështje të sigurisë”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“Infermieri"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240" w:lineRule="auto"/>
        <w:jc w:val="left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MA "Arte pamore" me profile:</w:t>
      </w:r>
      <w:r w:rsidRPr="00CD0FA8">
        <w:rPr>
          <w:sz w:val="24"/>
          <w:szCs w:val="24"/>
          <w:lang w:val="en-US"/>
        </w:rPr>
        <w:br/>
        <w:t>a. “TV- Multimedja”</w:t>
      </w:r>
      <w:r w:rsidRPr="00CD0FA8">
        <w:rPr>
          <w:sz w:val="24"/>
          <w:szCs w:val="24"/>
          <w:lang w:val="en-US"/>
        </w:rPr>
        <w:br/>
        <w:t>b. “Dizajn-Modë”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240" w:lineRule="auto"/>
        <w:jc w:val="left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MA "Arte skenike" me profile:</w:t>
      </w:r>
      <w:r w:rsidRPr="00CD0FA8">
        <w:rPr>
          <w:sz w:val="24"/>
          <w:szCs w:val="24"/>
          <w:lang w:val="en-US"/>
        </w:rPr>
        <w:br/>
        <w:t>a. “Mjeshtër regjie”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"Imazheri dhe radioterapi"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 xml:space="preserve">Msc. (PI) "Inxhinieri informatike" me profile: </w:t>
      </w:r>
    </w:p>
    <w:p w:rsidR="00D6266E" w:rsidRPr="00CD0FA8" w:rsidRDefault="00D6266E" w:rsidP="00D6266E">
      <w:pPr>
        <w:pStyle w:val="ListParagraph"/>
        <w:ind w:left="630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a. “Inxhinieri softuere-sh;”</w:t>
      </w:r>
    </w:p>
    <w:p w:rsidR="00D6266E" w:rsidRPr="00CD0FA8" w:rsidRDefault="00D6266E" w:rsidP="00D6266E">
      <w:pPr>
        <w:pStyle w:val="ListParagraph"/>
        <w:ind w:left="630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b. “Siguria e sistemeve te informacionit”</w:t>
      </w:r>
    </w:p>
    <w:p w:rsidR="00D6266E" w:rsidRPr="00CD0FA8" w:rsidRDefault="00D6266E" w:rsidP="00D6266E">
      <w:pPr>
        <w:pStyle w:val="ListParagraph"/>
        <w:ind w:left="630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c. “Menaxhim të dhënash”</w:t>
      </w:r>
    </w:p>
    <w:p w:rsidR="00D6266E" w:rsidRPr="00CD0FA8" w:rsidRDefault="00D6266E" w:rsidP="00D6266E">
      <w:pPr>
        <w:pStyle w:val="ListParagraph"/>
        <w:ind w:left="630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d. “Dizejim dhe zhvillim aplikimesh”</w:t>
      </w:r>
    </w:p>
    <w:p w:rsidR="00D6266E" w:rsidRPr="00CD0FA8" w:rsidRDefault="00D6266E" w:rsidP="00D6266E">
      <w:pPr>
        <w:pStyle w:val="ListParagraph"/>
        <w:ind w:left="630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e. “Menaxhim dhe vlerësim projektesh”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k. Në Universitetin “Luarasi”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Msc."Teknologji informacioni dhe novacioni"</w:t>
      </w:r>
    </w:p>
    <w:p w:rsidR="00D6266E" w:rsidRPr="00CD0FA8" w:rsidRDefault="00D6266E" w:rsidP="00D6266E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l. Në Universitetin “Fan S. Noli” Korçë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Mp.1 vjecar: "Inxhinieri agrare" me profil: Hostikulturë</w:t>
      </w:r>
    </w:p>
    <w:p w:rsidR="00D6266E" w:rsidRPr="00CD0FA8" w:rsidRDefault="00D6266E" w:rsidP="00D6266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 xml:space="preserve">Mp.1 vjecar: "Financë-kontabilitet"" 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m. Universiteti New York-ut</w:t>
      </w:r>
    </w:p>
    <w:p w:rsidR="00D6266E" w:rsidRPr="00CD0FA8" w:rsidRDefault="00D6266E" w:rsidP="00D6266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(PI) "Drejtësi"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lastRenderedPageBreak/>
        <w:t>n. Universiteti Mesdhetar i Shqipërisë</w:t>
      </w:r>
    </w:p>
    <w:p w:rsidR="00D6266E" w:rsidRPr="00CD0FA8" w:rsidRDefault="00D6266E" w:rsidP="00D6266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"Financë-bankë"</w:t>
      </w:r>
    </w:p>
    <w:p w:rsidR="00D6266E" w:rsidRPr="00CD0FA8" w:rsidRDefault="00D6266E" w:rsidP="00D6266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"Marrëdhënie ndërkombëtare"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D</w:t>
      </w:r>
      <w:r w:rsidRPr="00CD0FA8">
        <w:rPr>
          <w:rFonts w:eastAsia="Times New Roman"/>
          <w:color w:val="auto"/>
          <w:lang w:val="sq-AL"/>
        </w:rPr>
        <w:t xml:space="preserve"> .</w:t>
      </w:r>
      <w:r w:rsidRPr="00CD0FA8">
        <w:rPr>
          <w:rFonts w:eastAsia="Times New Roman"/>
          <w:b/>
          <w:color w:val="auto"/>
          <w:lang w:val="sq-AL"/>
        </w:rPr>
        <w:t>Vlerësimi i jashtëm në kuadër të akreditimit të programeve të ciklit të tretë: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color w:val="auto"/>
        </w:rPr>
        <w:t xml:space="preserve">a. </w:t>
      </w:r>
      <w:r w:rsidRPr="00CD0FA8">
        <w:rPr>
          <w:b/>
          <w:color w:val="auto"/>
        </w:rPr>
        <w:t>Në Universitetin Privat “Albanian University”</w:t>
      </w:r>
    </w:p>
    <w:p w:rsidR="00D6266E" w:rsidRPr="00CD0FA8" w:rsidRDefault="00D6266E" w:rsidP="00D626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D0FA8">
        <w:rPr>
          <w:sz w:val="24"/>
          <w:szCs w:val="24"/>
          <w:lang w:val="en-US"/>
        </w:rPr>
        <w:t>SPA 3-4 vite, “Kirurgji orale”</w:t>
      </w:r>
    </w:p>
    <w:p w:rsidR="00D6266E" w:rsidRPr="00CD0FA8" w:rsidRDefault="00D6266E" w:rsidP="00D6266E">
      <w:p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b. Në universitetin Katolik “Zoja Këshillit të Mirë”</w:t>
      </w:r>
    </w:p>
    <w:p w:rsidR="00D6266E" w:rsidRPr="00CD0FA8" w:rsidRDefault="00D6266E" w:rsidP="00D626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Dr. "Shëndet publik, diagnozë molekulare e sëmundje infektive dhe farmakovigjilancë"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c. Në Universitetin “Polis”</w:t>
      </w:r>
    </w:p>
    <w:p w:rsidR="00D6266E" w:rsidRPr="00CD0FA8" w:rsidRDefault="00D6266E" w:rsidP="00D6266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Dr. "Arkitekturë dhe planifikim urban"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E. Vlerësimi i jashtëm në kuadër të akreditimit institucional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a. Në Universitetin “Eqerem Çabej” Gjirokastër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Institucional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b. Në Universitetin Epoka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Institucional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c. Kolegji Universitar “Logos”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Institucional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d. Universiteti Politeknik i Tiranës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Institucional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D0FA8">
        <w:rPr>
          <w:rFonts w:ascii="Times New Roman" w:hAnsi="Times New Roman"/>
          <w:b/>
          <w:color w:val="auto"/>
          <w:sz w:val="24"/>
          <w:szCs w:val="24"/>
        </w:rPr>
        <w:t>e. Tirana Busines University College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Institucional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f.  Universiteti  “Aleksandër Moisiu”, Durrës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Institucional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h. Kolegji Universitar “Beder”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Institucional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i. Universiteti “Marin Barleti”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lastRenderedPageBreak/>
        <w:t>Institucional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k. Kolegji Universitar i Biznesit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Institucional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CD0FA8">
        <w:rPr>
          <w:rFonts w:eastAsia="Times New Roman"/>
          <w:b/>
          <w:color w:val="auto"/>
          <w:lang w:val="sq-AL"/>
        </w:rPr>
        <w:t>l. Universiteti Bujqësor i Tiranës</w:t>
      </w:r>
    </w:p>
    <w:p w:rsidR="00D6266E" w:rsidRPr="00CD0FA8" w:rsidRDefault="00D6266E" w:rsidP="00D6266E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rFonts w:eastAsia="Times New Roman"/>
          <w:color w:val="auto"/>
          <w:lang w:val="sq-AL"/>
        </w:rPr>
        <w:t>Institucional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rFonts w:eastAsia="Times New Roman"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</w:rPr>
      </w:pPr>
      <w:r w:rsidRPr="00CD0FA8">
        <w:rPr>
          <w:b/>
          <w:color w:val="auto"/>
        </w:rPr>
        <w:t>F. Vlerësimi i jashtëm në kuadër të akreditimit të programeve të ciklit të dytë, ekspert të huaj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CD0FA8">
        <w:rPr>
          <w:color w:val="auto"/>
          <w:lang w:val="sq-AL"/>
        </w:rPr>
        <w:t>a.</w:t>
      </w:r>
      <w:r w:rsidRPr="00CD0FA8">
        <w:rPr>
          <w:b/>
          <w:color w:val="auto"/>
          <w:lang w:val="sq-AL"/>
        </w:rPr>
        <w:t xml:space="preserve"> Universiteti  “Metropolitan Tirana”</w:t>
      </w:r>
    </w:p>
    <w:p w:rsidR="00D6266E" w:rsidRPr="00CD0FA8" w:rsidRDefault="00D6266E" w:rsidP="00D6266E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lang w:val="sq-AL"/>
        </w:rPr>
      </w:pPr>
      <w:r w:rsidRPr="00CD0FA8">
        <w:rPr>
          <w:color w:val="auto"/>
          <w:lang w:val="sq-AL"/>
        </w:rPr>
        <w:t>Msc. “Inxhinieri financiare dhe menaxhim risku”</w:t>
      </w:r>
    </w:p>
    <w:p w:rsidR="00D6266E" w:rsidRPr="00CD0FA8" w:rsidRDefault="00D6266E" w:rsidP="00D6266E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</w:rPr>
        <w:t xml:space="preserve">Msc. </w:t>
      </w:r>
      <w:r w:rsidRPr="00CD0FA8">
        <w:rPr>
          <w:sz w:val="24"/>
          <w:szCs w:val="24"/>
          <w:lang w:val="en-US"/>
        </w:rPr>
        <w:t xml:space="preserve">"Inxhinieri ndërtimi" me profile: 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a. “Inxhinieri strukturash”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b. “Inxhinieri infrastrukture transporti”</w:t>
      </w:r>
    </w:p>
    <w:p w:rsidR="00D6266E" w:rsidRPr="00CD0FA8" w:rsidRDefault="00D6266E" w:rsidP="00D6266E">
      <w:pPr>
        <w:pStyle w:val="Default"/>
        <w:spacing w:line="276" w:lineRule="auto"/>
        <w:ind w:left="360"/>
        <w:jc w:val="both"/>
        <w:rPr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CD0FA8">
        <w:rPr>
          <w:color w:val="auto"/>
          <w:lang w:val="sq-AL"/>
        </w:rPr>
        <w:t>b</w:t>
      </w:r>
      <w:r w:rsidRPr="00CD0FA8">
        <w:rPr>
          <w:b/>
          <w:color w:val="auto"/>
          <w:lang w:val="sq-AL"/>
        </w:rPr>
        <w:t>.  Universitetin Katolik “Zoja e Këshillit të Mirë”</w:t>
      </w:r>
    </w:p>
    <w:p w:rsidR="00D6266E" w:rsidRPr="00CD0FA8" w:rsidRDefault="00D6266E" w:rsidP="00D6266E">
      <w:pPr>
        <w:pStyle w:val="ListParagraph"/>
        <w:numPr>
          <w:ilvl w:val="0"/>
          <w:numId w:val="8"/>
        </w:numPr>
        <w:spacing w:after="0" w:line="240" w:lineRule="auto"/>
        <w:ind w:left="630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(PI) "Arkitekturë"</w:t>
      </w:r>
    </w:p>
    <w:p w:rsidR="00D6266E" w:rsidRPr="00CD0FA8" w:rsidRDefault="00D6266E" w:rsidP="00D6266E">
      <w:pPr>
        <w:pStyle w:val="ListParagraph"/>
        <w:numPr>
          <w:ilvl w:val="0"/>
          <w:numId w:val="8"/>
        </w:numPr>
        <w:spacing w:after="0" w:line="240" w:lineRule="auto"/>
        <w:ind w:left="630"/>
        <w:jc w:val="both"/>
        <w:rPr>
          <w:bCs/>
          <w:sz w:val="24"/>
          <w:szCs w:val="24"/>
          <w:lang w:val="en-US"/>
        </w:rPr>
      </w:pPr>
      <w:r w:rsidRPr="00CD0FA8">
        <w:rPr>
          <w:bCs/>
          <w:sz w:val="24"/>
          <w:szCs w:val="24"/>
          <w:lang w:val="en-US"/>
        </w:rPr>
        <w:t>Msc. "Ekonomi dhe menaxhim"</w:t>
      </w:r>
    </w:p>
    <w:p w:rsidR="00D6266E" w:rsidRPr="00CD0FA8" w:rsidRDefault="00D6266E" w:rsidP="00D6266E">
      <w:pPr>
        <w:pStyle w:val="ListParagraph"/>
        <w:numPr>
          <w:ilvl w:val="0"/>
          <w:numId w:val="8"/>
        </w:numPr>
        <w:spacing w:after="0" w:line="240" w:lineRule="auto"/>
        <w:ind w:left="630"/>
        <w:jc w:val="both"/>
        <w:rPr>
          <w:bCs/>
          <w:sz w:val="24"/>
          <w:szCs w:val="24"/>
          <w:lang w:val="en-US"/>
        </w:rPr>
      </w:pPr>
      <w:r w:rsidRPr="00CD0FA8">
        <w:rPr>
          <w:bCs/>
          <w:sz w:val="24"/>
          <w:szCs w:val="24"/>
          <w:lang w:val="en-US"/>
        </w:rPr>
        <w:t>Msc. (PI) “Mjekësi”</w:t>
      </w:r>
    </w:p>
    <w:p w:rsidR="00D6266E" w:rsidRPr="00CD0FA8" w:rsidRDefault="00D6266E" w:rsidP="00D6266E">
      <w:pPr>
        <w:pStyle w:val="Default"/>
        <w:numPr>
          <w:ilvl w:val="0"/>
          <w:numId w:val="8"/>
        </w:numPr>
        <w:spacing w:line="276" w:lineRule="auto"/>
        <w:ind w:left="630"/>
        <w:jc w:val="both"/>
        <w:rPr>
          <w:color w:val="auto"/>
          <w:lang w:val="sq-AL"/>
        </w:rPr>
      </w:pPr>
      <w:r w:rsidRPr="00CD0FA8">
        <w:rPr>
          <w:color w:val="auto"/>
          <w:lang w:val="sq-AL"/>
        </w:rPr>
        <w:t>Msc. (PI) “Odontoiatri dhe proteza dentare”</w:t>
      </w:r>
    </w:p>
    <w:p w:rsidR="00D6266E" w:rsidRPr="00CD0FA8" w:rsidRDefault="00D6266E" w:rsidP="00D6266E">
      <w:pPr>
        <w:pStyle w:val="Default"/>
        <w:numPr>
          <w:ilvl w:val="0"/>
          <w:numId w:val="8"/>
        </w:numPr>
        <w:spacing w:line="276" w:lineRule="auto"/>
        <w:ind w:left="630"/>
        <w:jc w:val="both"/>
        <w:rPr>
          <w:color w:val="auto"/>
          <w:lang w:val="sq-AL"/>
        </w:rPr>
      </w:pPr>
      <w:r w:rsidRPr="00CD0FA8">
        <w:rPr>
          <w:color w:val="auto"/>
          <w:lang w:val="sq-AL"/>
        </w:rPr>
        <w:t>Msc. (PI) “Farmaci”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CD0FA8">
        <w:rPr>
          <w:b/>
          <w:color w:val="auto"/>
          <w:lang w:val="sq-AL"/>
        </w:rPr>
        <w:t>c. Albanian University</w:t>
      </w:r>
    </w:p>
    <w:p w:rsidR="00D6266E" w:rsidRPr="00CD0FA8" w:rsidRDefault="00D6266E" w:rsidP="00D626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"Ekonomi dhe Menaxhim"</w:t>
      </w:r>
    </w:p>
    <w:p w:rsidR="00D6266E" w:rsidRPr="00CD0FA8" w:rsidRDefault="00D6266E" w:rsidP="00D626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 xml:space="preserve">Msc. "Shkenca juridike" me profile; 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a. “Marrëdhënie ndërkombëtare”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b. “E drejtë publike dhe administrative”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c. “E drejtë private”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ç. “E drejtë ndërkombëtaredhe Bashkimi Europian”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d. “E drejtë penale”</w:t>
      </w:r>
    </w:p>
    <w:p w:rsidR="00D6266E" w:rsidRPr="00CD0FA8" w:rsidRDefault="00D6266E" w:rsidP="00D6266E">
      <w:pPr>
        <w:pStyle w:val="ListParagraph"/>
        <w:jc w:val="both"/>
        <w:rPr>
          <w:sz w:val="24"/>
          <w:szCs w:val="24"/>
          <w:lang w:val="en-US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CD0FA8">
        <w:rPr>
          <w:b/>
          <w:color w:val="auto"/>
          <w:lang w:val="sq-AL"/>
        </w:rPr>
        <w:t>ç. Tirana Biznes University</w:t>
      </w:r>
    </w:p>
    <w:p w:rsidR="00D6266E" w:rsidRPr="00CD0FA8" w:rsidRDefault="00D6266E" w:rsidP="00D6266E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lang w:val="sq-AL"/>
        </w:rPr>
      </w:pPr>
      <w:r w:rsidRPr="00CD0FA8">
        <w:rPr>
          <w:color w:val="auto"/>
          <w:lang w:val="sq-AL"/>
        </w:rPr>
        <w:t>Msc. “Administrim biznesi”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CD0FA8">
        <w:rPr>
          <w:b/>
          <w:color w:val="auto"/>
          <w:lang w:val="sq-AL"/>
        </w:rPr>
        <w:t>d. Universiteti i Neë Yorku-ut</w:t>
      </w:r>
    </w:p>
    <w:p w:rsidR="00D6266E" w:rsidRPr="00CD0FA8" w:rsidRDefault="00D6266E" w:rsidP="00D626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(PI) "Drejtësi"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CD0FA8">
        <w:rPr>
          <w:b/>
          <w:color w:val="auto"/>
          <w:lang w:val="sq-AL"/>
        </w:rPr>
        <w:lastRenderedPageBreak/>
        <w:t>e. Universiteti Mesdhetar i Shqipërisë</w:t>
      </w:r>
    </w:p>
    <w:p w:rsidR="00D6266E" w:rsidRPr="00CD0FA8" w:rsidRDefault="00D6266E" w:rsidP="00D626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Msc. "Marrëdhenie ndërkombëtare"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</w:rPr>
      </w:pPr>
      <w:r w:rsidRPr="00CD0FA8">
        <w:rPr>
          <w:b/>
          <w:color w:val="auto"/>
        </w:rPr>
        <w:t>G. Vlerësimi i jashtëm në kuadër të akreditimit të programeve të ciklit të tretë, ekspertë të huaj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</w:rPr>
      </w:pPr>
      <w:r w:rsidRPr="00CD0FA8">
        <w:rPr>
          <w:b/>
          <w:color w:val="auto"/>
        </w:rPr>
        <w:t>a. Albanian University</w:t>
      </w:r>
    </w:p>
    <w:p w:rsidR="00D6266E" w:rsidRPr="00CD0FA8" w:rsidRDefault="00D6266E" w:rsidP="00D6266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D0FA8">
        <w:rPr>
          <w:sz w:val="24"/>
          <w:szCs w:val="24"/>
          <w:lang w:val="en-US"/>
        </w:rPr>
        <w:t>SPA 3-4 vite "Kirugji Orale"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CD0FA8">
        <w:rPr>
          <w:b/>
          <w:color w:val="auto"/>
          <w:lang w:val="sq-AL"/>
        </w:rPr>
        <w:t>b. Universiteti Katolik “Zoja e Këshillit të Mirë”</w:t>
      </w:r>
    </w:p>
    <w:p w:rsidR="00D6266E" w:rsidRPr="00CD0FA8" w:rsidRDefault="00D6266E" w:rsidP="00D6266E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lang w:val="sq-AL"/>
        </w:rPr>
      </w:pPr>
      <w:r w:rsidRPr="00CD0FA8">
        <w:rPr>
          <w:color w:val="auto"/>
          <w:lang w:val="sq-AL"/>
        </w:rPr>
        <w:t>Dr. “Shëndet publik, diagnozë molekulare e sëmundje infektive dhe farmakovigjilancë”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CD0FA8">
        <w:rPr>
          <w:b/>
          <w:color w:val="auto"/>
          <w:lang w:val="sq-AL"/>
        </w:rPr>
        <w:t>c. Universiteti “Polis”</w:t>
      </w:r>
    </w:p>
    <w:p w:rsidR="00D6266E" w:rsidRPr="00CD0FA8" w:rsidRDefault="00D6266E" w:rsidP="00D6266E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lang w:val="sq-AL"/>
        </w:rPr>
      </w:pPr>
      <w:r w:rsidRPr="00CD0FA8">
        <w:rPr>
          <w:color w:val="auto"/>
          <w:lang w:val="sq-AL"/>
        </w:rPr>
        <w:t>Dr. Arkitekturë”</w:t>
      </w:r>
    </w:p>
    <w:p w:rsidR="00D6266E" w:rsidRPr="00CD0FA8" w:rsidRDefault="00D6266E" w:rsidP="00D6266E">
      <w:pPr>
        <w:pStyle w:val="Default"/>
        <w:spacing w:line="276" w:lineRule="auto"/>
        <w:jc w:val="both"/>
        <w:rPr>
          <w:color w:val="auto"/>
          <w:lang w:val="sq-AL"/>
        </w:rPr>
      </w:pPr>
    </w:p>
    <w:p w:rsidR="00D6266E" w:rsidRPr="00CD0FA8" w:rsidRDefault="00D6266E" w:rsidP="00D6266E">
      <w:pPr>
        <w:pStyle w:val="Default"/>
        <w:spacing w:line="276" w:lineRule="auto"/>
        <w:jc w:val="both"/>
        <w:rPr>
          <w:b/>
          <w:color w:val="auto"/>
        </w:rPr>
      </w:pPr>
      <w:r w:rsidRPr="00CD0FA8">
        <w:rPr>
          <w:b/>
          <w:color w:val="auto"/>
          <w:lang w:val="sq-AL"/>
        </w:rPr>
        <w:t>H</w:t>
      </w:r>
      <w:r w:rsidRPr="00CD0FA8">
        <w:rPr>
          <w:color w:val="auto"/>
          <w:lang w:val="sq-AL"/>
        </w:rPr>
        <w:t xml:space="preserve">. </w:t>
      </w:r>
      <w:r w:rsidRPr="00CD0FA8">
        <w:rPr>
          <w:b/>
          <w:color w:val="auto"/>
        </w:rPr>
        <w:t>Vlerësimi i jashtëm në kuadër të akreditimit institucional të institucioneve të arsimit të lartë, ekspert të huaj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Universiteti “Eqerem Çabej”, Gjirokastër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Universiteti Politeknik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Kolegji Universitar “Logos”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Universiteti “Epoka”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Universiteti i Sporteve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Universiteti “Marin Barleti”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Universiteeti “Beder”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Universiteti Bujqësor i Tiranës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Kolegji Universitar i Biznesit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 Tirana Busines University</w:t>
      </w:r>
    </w:p>
    <w:p w:rsidR="00D6266E" w:rsidRPr="00CD0FA8" w:rsidRDefault="00D6266E" w:rsidP="00EA2B8E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CD0FA8">
        <w:rPr>
          <w:color w:val="auto"/>
        </w:rPr>
        <w:t>Vlerësimi i jashtëm dhe akreditimi institucionalUniversiteti“Aleksandër Moisiu”, Durrës</w:t>
      </w:r>
    </w:p>
    <w:p w:rsidR="00D6266E" w:rsidRPr="00CD0FA8" w:rsidRDefault="00D6266E" w:rsidP="00D6266E">
      <w:pPr>
        <w:pStyle w:val="Default"/>
        <w:spacing w:line="276" w:lineRule="auto"/>
        <w:ind w:left="720"/>
        <w:jc w:val="both"/>
        <w:rPr>
          <w:color w:val="auto"/>
          <w:lang w:val="sq-AL"/>
        </w:rPr>
      </w:pPr>
    </w:p>
    <w:p w:rsidR="003A5394" w:rsidRPr="003C02E3" w:rsidRDefault="00D6266E" w:rsidP="00EA2B8E">
      <w:pPr>
        <w:pStyle w:val="Default"/>
        <w:spacing w:line="360" w:lineRule="auto"/>
        <w:jc w:val="both"/>
        <w:rPr>
          <w:rFonts w:eastAsia="Times New Roman"/>
          <w:color w:val="auto"/>
          <w:lang w:val="sq-AL"/>
        </w:rPr>
      </w:pPr>
      <w:r w:rsidRPr="00CD0FA8">
        <w:rPr>
          <w:b/>
          <w:color w:val="auto"/>
          <w:shd w:val="clear" w:color="auto" w:fill="FFFFFF"/>
        </w:rPr>
        <w:t>ASCAL</w:t>
      </w:r>
      <w:r w:rsidRPr="00CD0FA8">
        <w:rPr>
          <w:color w:val="auto"/>
          <w:shd w:val="clear" w:color="auto" w:fill="FFFFFF"/>
        </w:rPr>
        <w:t xml:space="preserve"> është pjesë e hapësirës europiane të sigurimit të cilësisë duke bashkëpunuar më të gjithë aktorët e kësaj fushe dhe duke qenë anëtar i asociuar i </w:t>
      </w:r>
      <w:hyperlink r:id="rId8" w:history="1">
        <w:r w:rsidRPr="00CD0FA8">
          <w:rPr>
            <w:rStyle w:val="Hyperlink"/>
            <w:b/>
            <w:color w:val="auto"/>
            <w:shd w:val="clear" w:color="auto" w:fill="FFFFFF"/>
          </w:rPr>
          <w:t>ENQA</w:t>
        </w:r>
      </w:hyperlink>
      <w:r w:rsidRPr="00CD0FA8">
        <w:rPr>
          <w:color w:val="auto"/>
          <w:shd w:val="clear" w:color="auto" w:fill="FFFFFF"/>
        </w:rPr>
        <w:t>, anëtar me të drejta të plota i </w:t>
      </w:r>
      <w:hyperlink r:id="rId9" w:history="1">
        <w:r w:rsidRPr="00CD0FA8">
          <w:rPr>
            <w:rStyle w:val="Hyperlink"/>
            <w:b/>
            <w:color w:val="auto"/>
            <w:shd w:val="clear" w:color="auto" w:fill="FFFFFF"/>
          </w:rPr>
          <w:t>CEENQA</w:t>
        </w:r>
      </w:hyperlink>
      <w:r w:rsidRPr="00CD0FA8">
        <w:rPr>
          <w:color w:val="auto"/>
          <w:shd w:val="clear" w:color="auto" w:fill="FFFFFF"/>
        </w:rPr>
        <w:t>, anëtar me të drejta të plota i </w:t>
      </w:r>
      <w:hyperlink r:id="rId10" w:history="1">
        <w:r w:rsidRPr="00CD0FA8">
          <w:rPr>
            <w:rStyle w:val="Hyperlink"/>
            <w:b/>
            <w:color w:val="auto"/>
            <w:shd w:val="clear" w:color="auto" w:fill="FFFFFF"/>
          </w:rPr>
          <w:t>INQAAHE</w:t>
        </w:r>
      </w:hyperlink>
      <w:r w:rsidRPr="00CD0FA8">
        <w:rPr>
          <w:color w:val="auto"/>
          <w:shd w:val="clear" w:color="auto" w:fill="FFFFFF"/>
        </w:rPr>
        <w:t xml:space="preserve">. Gjithashtu </w:t>
      </w:r>
      <w:r w:rsidRPr="00CD0FA8">
        <w:rPr>
          <w:b/>
          <w:color w:val="auto"/>
          <w:shd w:val="clear" w:color="auto" w:fill="FFFFFF"/>
        </w:rPr>
        <w:t>ASCAL</w:t>
      </w:r>
      <w:r w:rsidRPr="00CD0FA8">
        <w:rPr>
          <w:color w:val="auto"/>
          <w:shd w:val="clear" w:color="auto" w:fill="FFFFFF"/>
        </w:rPr>
        <w:t xml:space="preserve"> ka bashkëpunime të suksesshme me </w:t>
      </w:r>
      <w:hyperlink r:id="rId11" w:history="1">
        <w:r w:rsidRPr="00CD0FA8">
          <w:rPr>
            <w:rStyle w:val="Hyperlink"/>
            <w:b/>
            <w:color w:val="auto"/>
            <w:shd w:val="clear" w:color="auto" w:fill="FFFFFF"/>
          </w:rPr>
          <w:t>QAA</w:t>
        </w:r>
      </w:hyperlink>
      <w:r w:rsidRPr="00CD0FA8">
        <w:rPr>
          <w:color w:val="auto"/>
          <w:shd w:val="clear" w:color="auto" w:fill="FFFFFF"/>
        </w:rPr>
        <w:t> dhe </w:t>
      </w:r>
      <w:hyperlink r:id="rId12" w:history="1">
        <w:r w:rsidRPr="00CD0FA8">
          <w:rPr>
            <w:rStyle w:val="Hyperlink"/>
            <w:b/>
            <w:color w:val="auto"/>
            <w:shd w:val="clear" w:color="auto" w:fill="FFFFFF"/>
          </w:rPr>
          <w:t>CHE</w:t>
        </w:r>
      </w:hyperlink>
      <w:r w:rsidRPr="00CD0FA8">
        <w:rPr>
          <w:color w:val="auto"/>
          <w:shd w:val="clear" w:color="auto" w:fill="FFFFFF"/>
        </w:rPr>
        <w:t xml:space="preserve">. </w:t>
      </w:r>
      <w:r w:rsidRPr="00CD0FA8">
        <w:rPr>
          <w:rFonts w:eastAsia="Times New Roman"/>
          <w:b/>
          <w:color w:val="auto"/>
          <w:lang w:val="sq-AL"/>
        </w:rPr>
        <w:t>ASCAL</w:t>
      </w:r>
      <w:r w:rsidRPr="00CD0FA8">
        <w:rPr>
          <w:rFonts w:eastAsia="Times New Roman"/>
          <w:color w:val="auto"/>
          <w:lang w:val="sq-AL"/>
        </w:rPr>
        <w:t xml:space="preserve"> ka paguar tarifat e anëtarësimit në organizmat ndërkombëtare ENQA, CEENQA dhe INQAAHE</w:t>
      </w:r>
      <w:r w:rsidR="003C02E3">
        <w:rPr>
          <w:rFonts w:eastAsia="Times New Roman"/>
          <w:color w:val="auto"/>
          <w:lang w:val="sq-AL"/>
        </w:rPr>
        <w:t>.</w:t>
      </w:r>
    </w:p>
    <w:sectPr w:rsidR="003A5394" w:rsidRPr="003C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011"/>
    <w:multiLevelType w:val="hybridMultilevel"/>
    <w:tmpl w:val="A97EC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F324E"/>
    <w:multiLevelType w:val="hybridMultilevel"/>
    <w:tmpl w:val="934C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209E"/>
    <w:multiLevelType w:val="hybridMultilevel"/>
    <w:tmpl w:val="9834861E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6884"/>
    <w:multiLevelType w:val="hybridMultilevel"/>
    <w:tmpl w:val="32AC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049A"/>
    <w:multiLevelType w:val="hybridMultilevel"/>
    <w:tmpl w:val="19D2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F78"/>
    <w:multiLevelType w:val="hybridMultilevel"/>
    <w:tmpl w:val="4926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086"/>
    <w:multiLevelType w:val="hybridMultilevel"/>
    <w:tmpl w:val="2FB8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4B6D"/>
    <w:multiLevelType w:val="hybridMultilevel"/>
    <w:tmpl w:val="57607606"/>
    <w:lvl w:ilvl="0" w:tplc="469E6AE8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0534EB0"/>
    <w:multiLevelType w:val="hybridMultilevel"/>
    <w:tmpl w:val="F3161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06CF5"/>
    <w:multiLevelType w:val="hybridMultilevel"/>
    <w:tmpl w:val="8138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E7B44"/>
    <w:multiLevelType w:val="hybridMultilevel"/>
    <w:tmpl w:val="E3C4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D3D52"/>
    <w:multiLevelType w:val="hybridMultilevel"/>
    <w:tmpl w:val="07FA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44B"/>
    <w:multiLevelType w:val="hybridMultilevel"/>
    <w:tmpl w:val="DF8C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3799"/>
    <w:multiLevelType w:val="hybridMultilevel"/>
    <w:tmpl w:val="2ED059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94989"/>
    <w:multiLevelType w:val="multilevel"/>
    <w:tmpl w:val="AE0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D1123"/>
    <w:multiLevelType w:val="hybridMultilevel"/>
    <w:tmpl w:val="7772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3A7"/>
    <w:multiLevelType w:val="hybridMultilevel"/>
    <w:tmpl w:val="36BC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1A98"/>
    <w:multiLevelType w:val="hybridMultilevel"/>
    <w:tmpl w:val="D8B0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22F77"/>
    <w:multiLevelType w:val="hybridMultilevel"/>
    <w:tmpl w:val="BDA8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6970"/>
    <w:multiLevelType w:val="hybridMultilevel"/>
    <w:tmpl w:val="E604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61D46"/>
    <w:multiLevelType w:val="hybridMultilevel"/>
    <w:tmpl w:val="19E8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E1E7D"/>
    <w:multiLevelType w:val="hybridMultilevel"/>
    <w:tmpl w:val="B32C4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574B4"/>
    <w:multiLevelType w:val="hybridMultilevel"/>
    <w:tmpl w:val="6BEE28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B358A"/>
    <w:multiLevelType w:val="hybridMultilevel"/>
    <w:tmpl w:val="D9321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C44B9"/>
    <w:multiLevelType w:val="hybridMultilevel"/>
    <w:tmpl w:val="0112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61D2B"/>
    <w:multiLevelType w:val="hybridMultilevel"/>
    <w:tmpl w:val="B0EA6DCC"/>
    <w:lvl w:ilvl="0" w:tplc="3B92C8B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7A31FB"/>
    <w:multiLevelType w:val="hybridMultilevel"/>
    <w:tmpl w:val="8642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65E9E"/>
    <w:multiLevelType w:val="hybridMultilevel"/>
    <w:tmpl w:val="2A78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18"/>
  </w:num>
  <w:num w:numId="6">
    <w:abstractNumId w:val="4"/>
  </w:num>
  <w:num w:numId="7">
    <w:abstractNumId w:val="17"/>
  </w:num>
  <w:num w:numId="8">
    <w:abstractNumId w:val="24"/>
  </w:num>
  <w:num w:numId="9">
    <w:abstractNumId w:val="19"/>
  </w:num>
  <w:num w:numId="10">
    <w:abstractNumId w:val="1"/>
  </w:num>
  <w:num w:numId="11">
    <w:abstractNumId w:val="15"/>
  </w:num>
  <w:num w:numId="12">
    <w:abstractNumId w:val="22"/>
  </w:num>
  <w:num w:numId="13">
    <w:abstractNumId w:val="26"/>
  </w:num>
  <w:num w:numId="14">
    <w:abstractNumId w:val="10"/>
  </w:num>
  <w:num w:numId="15">
    <w:abstractNumId w:val="6"/>
  </w:num>
  <w:num w:numId="16">
    <w:abstractNumId w:val="12"/>
  </w:num>
  <w:num w:numId="17">
    <w:abstractNumId w:val="11"/>
  </w:num>
  <w:num w:numId="18">
    <w:abstractNumId w:val="13"/>
  </w:num>
  <w:num w:numId="19">
    <w:abstractNumId w:val="16"/>
  </w:num>
  <w:num w:numId="20">
    <w:abstractNumId w:val="9"/>
  </w:num>
  <w:num w:numId="21">
    <w:abstractNumId w:val="0"/>
  </w:num>
  <w:num w:numId="22">
    <w:abstractNumId w:val="8"/>
  </w:num>
  <w:num w:numId="23">
    <w:abstractNumId w:val="3"/>
  </w:num>
  <w:num w:numId="24">
    <w:abstractNumId w:val="27"/>
  </w:num>
  <w:num w:numId="25">
    <w:abstractNumId w:val="5"/>
  </w:num>
  <w:num w:numId="26">
    <w:abstractNumId w:val="2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6E"/>
    <w:rsid w:val="003A5394"/>
    <w:rsid w:val="003C02E3"/>
    <w:rsid w:val="004A1F22"/>
    <w:rsid w:val="00772C45"/>
    <w:rsid w:val="0077763B"/>
    <w:rsid w:val="00AB32D5"/>
    <w:rsid w:val="00CD0FA8"/>
    <w:rsid w:val="00D6266E"/>
    <w:rsid w:val="00E5301F"/>
    <w:rsid w:val="00EA2B8E"/>
    <w:rsid w:val="00F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1A60B-455F-48E4-BAA7-FC3D4C88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66E"/>
    <w:pPr>
      <w:spacing w:before="120" w:after="200" w:line="264" w:lineRule="auto"/>
    </w:pPr>
    <w:rPr>
      <w:rFonts w:ascii="Constantia" w:eastAsia="MS Mincho" w:hAnsi="Constantia" w:cs="Times New Roman"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6266E"/>
    <w:pPr>
      <w:spacing w:before="0" w:line="240" w:lineRule="auto"/>
    </w:pPr>
    <w:rPr>
      <w:i/>
      <w:iCs/>
      <w:color w:val="4E5B6F"/>
      <w:szCs w:val="18"/>
    </w:rPr>
  </w:style>
  <w:style w:type="character" w:styleId="CommentReference">
    <w:name w:val="annotation reference"/>
    <w:uiPriority w:val="99"/>
    <w:semiHidden/>
    <w:unhideWhenUsed/>
    <w:rsid w:val="00D6266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6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66E"/>
    <w:rPr>
      <w:rFonts w:ascii="Constantia" w:eastAsia="MS Mincho" w:hAnsi="Constantia" w:cs="Times New Roman"/>
      <w:color w:val="595959"/>
      <w:szCs w:val="20"/>
    </w:rPr>
  </w:style>
  <w:style w:type="character" w:styleId="Hyperlink">
    <w:name w:val="Hyperlink"/>
    <w:uiPriority w:val="99"/>
    <w:unhideWhenUsed/>
    <w:rsid w:val="00D6266E"/>
    <w:rPr>
      <w:color w:val="835D0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6266E"/>
    <w:pPr>
      <w:spacing w:before="0" w:line="276" w:lineRule="auto"/>
      <w:ind w:left="720"/>
      <w:contextualSpacing/>
      <w:jc w:val="center"/>
    </w:pPr>
    <w:rPr>
      <w:rFonts w:ascii="Times New Roman" w:hAnsi="Times New Roman"/>
      <w:noProof/>
      <w:color w:val="auto"/>
      <w:sz w:val="20"/>
      <w:szCs w:val="20"/>
      <w:lang w:val="sq-AL" w:eastAsia="x-none"/>
    </w:rPr>
  </w:style>
  <w:style w:type="character" w:customStyle="1" w:styleId="ListParagraphChar">
    <w:name w:val="List Paragraph Char"/>
    <w:link w:val="ListParagraph"/>
    <w:uiPriority w:val="34"/>
    <w:rsid w:val="00D6266E"/>
    <w:rPr>
      <w:rFonts w:ascii="Times New Roman" w:eastAsia="MS Mincho" w:hAnsi="Times New Roman" w:cs="Times New Roman"/>
      <w:noProof/>
      <w:sz w:val="20"/>
      <w:szCs w:val="20"/>
      <w:lang w:val="sq-AL" w:eastAsia="x-none"/>
    </w:rPr>
  </w:style>
  <w:style w:type="paragraph" w:customStyle="1" w:styleId="Default">
    <w:name w:val="Default"/>
    <w:rsid w:val="00D6266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6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6E"/>
    <w:rPr>
      <w:rFonts w:ascii="Segoe UI" w:eastAsia="MS Mincho" w:hAnsi="Segoe UI" w:cs="Segoe UI"/>
      <w:color w:val="59595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q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www.che.de/cms/?getObject=5&amp;getLang=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http://www.qaa.ac.uk/en" TargetMode="External"/><Relationship Id="rId5" Type="http://schemas.openxmlformats.org/officeDocument/2006/relationships/chart" Target="charts/chart1.xml"/><Relationship Id="rId10" Type="http://schemas.openxmlformats.org/officeDocument/2006/relationships/hyperlink" Target="http://www.inqaah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enetwork.h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Pranvera%20Dingo\Downloads\Hotel%20B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Sheet1!$D$4</c:f>
              <c:strCache>
                <c:ptCount val="1"/>
                <c:pt idx="0">
                  <c:v> Plani/ lekë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Sheet1!$C$5:$C$10</c:f>
              <c:strCache>
                <c:ptCount val="6"/>
                <c:pt idx="0">
                  <c:v>Paga</c:v>
                </c:pt>
                <c:pt idx="1">
                  <c:v>Sigurime shoqërore</c:v>
                </c:pt>
                <c:pt idx="2">
                  <c:v>Shpenzime operative</c:v>
                </c:pt>
                <c:pt idx="3">
                  <c:v>Shpenzime operative</c:v>
                </c:pt>
                <c:pt idx="4">
                  <c:v>Shpenzime për investime</c:v>
                </c:pt>
                <c:pt idx="5">
                  <c:v>Totali</c:v>
                </c:pt>
              </c:strCache>
            </c:strRef>
          </c:cat>
          <c:val>
            <c:numRef>
              <c:f>Sheet1!$D$5:$D$10</c:f>
              <c:numCache>
                <c:formatCode>#,##0</c:formatCode>
                <c:ptCount val="6"/>
                <c:pt idx="0">
                  <c:v>36423361</c:v>
                </c:pt>
                <c:pt idx="1">
                  <c:v>5881868</c:v>
                </c:pt>
                <c:pt idx="2">
                  <c:v>100816938</c:v>
                </c:pt>
                <c:pt idx="3">
                  <c:v>1501658</c:v>
                </c:pt>
                <c:pt idx="4">
                  <c:v>2514200</c:v>
                </c:pt>
                <c:pt idx="5">
                  <c:v>147138025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D8-46A1-8EA8-C2062DC1F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7616655"/>
        <c:axId val="1367609167"/>
        <c:axId val="765574591"/>
      </c:bar3DChart>
      <c:catAx>
        <c:axId val="1367616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7609167"/>
        <c:crosses val="autoZero"/>
        <c:auto val="1"/>
        <c:lblAlgn val="ctr"/>
        <c:lblOffset val="100"/>
        <c:noMultiLvlLbl val="0"/>
      </c:catAx>
      <c:valAx>
        <c:axId val="1367609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7616655"/>
        <c:crosses val="autoZero"/>
        <c:crossBetween val="between"/>
      </c:valAx>
      <c:serAx>
        <c:axId val="76557459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7609167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Sheet1!$E$4</c:f>
              <c:strCache>
                <c:ptCount val="1"/>
                <c:pt idx="0">
                  <c:v> Fakti/lekë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Sheet1!$C$5:$C$10</c:f>
              <c:strCache>
                <c:ptCount val="6"/>
                <c:pt idx="0">
                  <c:v>Paga</c:v>
                </c:pt>
                <c:pt idx="1">
                  <c:v>Sigurime shoqërore</c:v>
                </c:pt>
                <c:pt idx="2">
                  <c:v>Shpenzime operative</c:v>
                </c:pt>
                <c:pt idx="3">
                  <c:v>Shpenzime operative</c:v>
                </c:pt>
                <c:pt idx="4">
                  <c:v>Shpenzime për investime</c:v>
                </c:pt>
                <c:pt idx="5">
                  <c:v>Totali</c:v>
                </c:pt>
              </c:strCache>
            </c:strRef>
          </c:cat>
          <c:val>
            <c:numRef>
              <c:f>Sheet1!$E$5:$E$10</c:f>
              <c:numCache>
                <c:formatCode>General</c:formatCode>
                <c:ptCount val="6"/>
                <c:pt idx="0" formatCode="#,##0">
                  <c:v>12959361</c:v>
                </c:pt>
                <c:pt idx="1">
                  <c:v>0</c:v>
                </c:pt>
                <c:pt idx="2" formatCode="#,##0">
                  <c:v>30151733</c:v>
                </c:pt>
                <c:pt idx="3" formatCode="#,##0">
                  <c:v>501658</c:v>
                </c:pt>
                <c:pt idx="4" formatCode="#,##0">
                  <c:v>514200</c:v>
                </c:pt>
                <c:pt idx="5" formatCode="#,##0">
                  <c:v>46108820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8-4316-8507-82462C481A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8616255"/>
        <c:axId val="1368617087"/>
        <c:axId val="827410703"/>
      </c:bar3DChart>
      <c:catAx>
        <c:axId val="1368616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8617087"/>
        <c:crosses val="autoZero"/>
        <c:auto val="1"/>
        <c:lblAlgn val="ctr"/>
        <c:lblOffset val="100"/>
        <c:noMultiLvlLbl val="0"/>
      </c:catAx>
      <c:valAx>
        <c:axId val="1368617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8616255"/>
        <c:crosses val="autoZero"/>
        <c:crossBetween val="between"/>
      </c:valAx>
      <c:serAx>
        <c:axId val="82741070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8617087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'[Hotel BA.xlsx]Hotel BA'!$J$15</c:f>
              <c:strCache>
                <c:ptCount val="1"/>
                <c:pt idx="0">
                  <c:v>Shpenzime Përdorur në fakt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'[Hotel BA.xlsx]Hotel BA'!$I$16:$I$22</c:f>
              <c:strCache>
                <c:ptCount val="7"/>
                <c:pt idx="1">
                  <c:v>Shpenzime për pagesën e honorareve të Bordit të Akreditimit (Të huaj dhe vendas)</c:v>
                </c:pt>
                <c:pt idx="2">
                  <c:v>Shpenzime për pagesën e honorareve të ekspertëve vendas dhe të huaj </c:v>
                </c:pt>
                <c:pt idx="3">
                  <c:v>Shpenzime udhëtim e qëndrimi brenda dhe jashtë vendit të punonjësve të ASCAL, Bordit të Akreditimit dhe ekspertëve të huaj.</c:v>
                </c:pt>
                <c:pt idx="4">
                  <c:v>Shpenzime të ndryshme, detyrime ndaj të tretëve, qera salle, shtypshkrime, përkthime organizime ëorkshop etj.</c:v>
                </c:pt>
                <c:pt idx="5">
                  <c:v>Shpenzime për pagesën e tarifave të anëtarësimit në organizatat</c:v>
                </c:pt>
                <c:pt idx="6">
                  <c:v>TOTALI</c:v>
                </c:pt>
              </c:strCache>
            </c:strRef>
          </c:cat>
          <c:val>
            <c:numRef>
              <c:f>'[Hotel BA.xlsx]Hotel BA'!$J$16:$J$22</c:f>
              <c:numCache>
                <c:formatCode>#,##0</c:formatCode>
                <c:ptCount val="7"/>
                <c:pt idx="1">
                  <c:v>2743868</c:v>
                </c:pt>
                <c:pt idx="2">
                  <c:v>20703101</c:v>
                </c:pt>
                <c:pt idx="3">
                  <c:v>2724441</c:v>
                </c:pt>
                <c:pt idx="4">
                  <c:v>3980323</c:v>
                </c:pt>
                <c:pt idx="5">
                  <c:v>501658</c:v>
                </c:pt>
                <c:pt idx="6">
                  <c:v>30653391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45-462B-9CBF-BB6E905AD6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8618335"/>
        <c:axId val="1368618751"/>
        <c:axId val="827411695"/>
      </c:bar3DChart>
      <c:catAx>
        <c:axId val="1368618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8618751"/>
        <c:crosses val="autoZero"/>
        <c:auto val="1"/>
        <c:lblAlgn val="ctr"/>
        <c:lblOffset val="100"/>
        <c:noMultiLvlLbl val="0"/>
      </c:catAx>
      <c:valAx>
        <c:axId val="1368618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8618335"/>
        <c:crosses val="autoZero"/>
        <c:crossBetween val="between"/>
      </c:valAx>
      <c:serAx>
        <c:axId val="82741169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8618751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Pranvera Dingo</dc:creator>
  <cp:keywords/>
  <dc:description/>
  <cp:lastModifiedBy>Pranvera Dingo</cp:lastModifiedBy>
  <cp:revision>2</cp:revision>
  <dcterms:created xsi:type="dcterms:W3CDTF">2022-03-02T11:25:00Z</dcterms:created>
  <dcterms:modified xsi:type="dcterms:W3CDTF">2022-03-02T11:25:00Z</dcterms:modified>
</cp:coreProperties>
</file>